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A4" w:rsidRDefault="00700918">
      <w:r>
        <w:rPr>
          <w:noProof/>
          <w:lang w:eastAsia="pt-PT"/>
        </w:rPr>
        <w:drawing>
          <wp:anchor distT="0" distB="0" distL="114300" distR="114300" simplePos="0" relativeHeight="251680768" behindDoc="0" locked="0" layoutInCell="1" allowOverlap="1" wp14:anchorId="2FD9F89B" wp14:editId="582319A4">
            <wp:simplePos x="0" y="0"/>
            <wp:positionH relativeFrom="column">
              <wp:posOffset>-478502</wp:posOffset>
            </wp:positionH>
            <wp:positionV relativeFrom="paragraph">
              <wp:posOffset>-371013</wp:posOffset>
            </wp:positionV>
            <wp:extent cx="2233032" cy="49973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3032" cy="499730"/>
                    </a:xfrm>
                    <a:prstGeom prst="rect">
                      <a:avLst/>
                    </a:prstGeom>
                  </pic:spPr>
                </pic:pic>
              </a:graphicData>
            </a:graphic>
            <wp14:sizeRelH relativeFrom="page">
              <wp14:pctWidth>0</wp14:pctWidth>
            </wp14:sizeRelH>
            <wp14:sizeRelV relativeFrom="page">
              <wp14:pctHeight>0</wp14:pctHeight>
            </wp14:sizeRelV>
          </wp:anchor>
        </w:drawing>
      </w:r>
    </w:p>
    <w:p w:rsidR="008A65AC" w:rsidRDefault="008A65AC" w:rsidP="00707A0F">
      <w:pPr>
        <w:spacing w:after="0"/>
        <w:jc w:val="center"/>
        <w:rPr>
          <w:b/>
          <w:sz w:val="44"/>
        </w:rPr>
      </w:pPr>
      <w:r w:rsidRPr="003E6932">
        <w:rPr>
          <w:b/>
          <w:sz w:val="44"/>
        </w:rPr>
        <w:t>CUSTOS SIMPLIFICADOS</w:t>
      </w:r>
    </w:p>
    <w:p w:rsidR="00700918" w:rsidRDefault="00700918" w:rsidP="00707A0F">
      <w:pPr>
        <w:spacing w:after="0"/>
        <w:jc w:val="center"/>
      </w:pPr>
      <w:r>
        <w:rPr>
          <w:noProof/>
          <w:lang w:eastAsia="pt-PT"/>
        </w:rPr>
        <mc:AlternateContent>
          <mc:Choice Requires="wps">
            <w:drawing>
              <wp:anchor distT="0" distB="0" distL="114300" distR="114300" simplePos="0" relativeHeight="251682816" behindDoc="0" locked="0" layoutInCell="1" allowOverlap="1" wp14:anchorId="3BE6367D" wp14:editId="09C5283D">
                <wp:simplePos x="0" y="0"/>
                <wp:positionH relativeFrom="column">
                  <wp:posOffset>1350558</wp:posOffset>
                </wp:positionH>
                <wp:positionV relativeFrom="paragraph">
                  <wp:posOffset>156845</wp:posOffset>
                </wp:positionV>
                <wp:extent cx="3990109" cy="306888"/>
                <wp:effectExtent l="0" t="0" r="10795" b="1714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109" cy="306888"/>
                        </a:xfrm>
                        <a:prstGeom prst="rect">
                          <a:avLst/>
                        </a:prstGeom>
                        <a:solidFill>
                          <a:srgbClr val="FFFFFF"/>
                        </a:solidFill>
                        <a:ln w="9525">
                          <a:solidFill>
                            <a:srgbClr val="000000"/>
                          </a:solidFill>
                          <a:miter lim="800000"/>
                          <a:headEnd/>
                          <a:tailEnd/>
                        </a:ln>
                      </wps:spPr>
                      <wps:txbx>
                        <w:txbxContent>
                          <w:p w:rsidR="008A65AC" w:rsidRPr="00E25EBF" w:rsidRDefault="008A65AC">
                            <w:r w:rsidRPr="00E25EBF">
                              <w:t>M</w:t>
                            </w:r>
                            <w:r w:rsidR="002B74CF" w:rsidRPr="00E25EBF">
                              <w:t>3</w:t>
                            </w:r>
                            <w:r w:rsidRPr="00E25EBF">
                              <w:t xml:space="preserve"> – </w:t>
                            </w:r>
                            <w:r w:rsidR="002B74CF" w:rsidRPr="00E25EBF">
                              <w:t>Valorização da Produção Agrícola</w:t>
                            </w:r>
                            <w:r w:rsidR="002C3617">
                              <w:t xml:space="preserve"> e M10 -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6367D" id="_x0000_t202" coordsize="21600,21600" o:spt="202" path="m,l,21600r21600,l21600,xe">
                <v:stroke joinstyle="miter"/>
                <v:path gradientshapeok="t" o:connecttype="rect"/>
              </v:shapetype>
              <v:shape id="Caixa de Texto 2" o:spid="_x0000_s1026" type="#_x0000_t202" style="position:absolute;left:0;text-align:left;margin-left:106.35pt;margin-top:12.35pt;width:314.2pt;height:2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">
                <v:textbox>
                  <w:txbxContent>
                    <w:p w:rsidR="008A65AC" w:rsidRPr="00E25EBF" w:rsidRDefault="008A65AC">
                      <w:r w:rsidRPr="00E25EBF">
                        <w:t>M</w:t>
                      </w:r>
                      <w:r w:rsidR="002B74CF" w:rsidRPr="00E25EBF">
                        <w:t>3</w:t>
                      </w:r>
                      <w:r w:rsidRPr="00E25EBF">
                        <w:t xml:space="preserve"> – </w:t>
                      </w:r>
                      <w:r w:rsidR="002B74CF" w:rsidRPr="00E25EBF">
                        <w:t>Valorização da Produção Agrícola</w:t>
                      </w:r>
                      <w:r w:rsidR="002C3617">
                        <w:t xml:space="preserve"> e M10 - LEADER</w:t>
                      </w:r>
                    </w:p>
                  </w:txbxContent>
                </v:textbox>
              </v:shape>
            </w:pict>
          </mc:Fallback>
        </mc:AlternateContent>
      </w:r>
    </w:p>
    <w:p w:rsidR="008A65AC" w:rsidRDefault="008A65AC">
      <w:pPr>
        <w:rPr>
          <w:b/>
        </w:rPr>
      </w:pPr>
      <w:r w:rsidRPr="000364BE">
        <w:rPr>
          <w:b/>
        </w:rPr>
        <w:t>MEDIDA PDR</w:t>
      </w:r>
    </w:p>
    <w:p w:rsidR="00E25EBF" w:rsidRPr="000364BE" w:rsidRDefault="00E25EBF">
      <w:pPr>
        <w:rPr>
          <w:b/>
        </w:rPr>
      </w:pPr>
      <w:r w:rsidRPr="000364BE">
        <w:rPr>
          <w:b/>
          <w:noProof/>
          <w:lang w:eastAsia="pt-PT"/>
        </w:rPr>
        <mc:AlternateContent>
          <mc:Choice Requires="wps">
            <w:drawing>
              <wp:anchor distT="0" distB="0" distL="114300" distR="114300" simplePos="0" relativeHeight="251684864" behindDoc="0" locked="0" layoutInCell="1" allowOverlap="1" wp14:anchorId="060B6643" wp14:editId="7E5ED793">
                <wp:simplePos x="0" y="0"/>
                <wp:positionH relativeFrom="margin">
                  <wp:align>right</wp:align>
                </wp:positionH>
                <wp:positionV relativeFrom="paragraph">
                  <wp:posOffset>92243</wp:posOffset>
                </wp:positionV>
                <wp:extent cx="4023931" cy="609600"/>
                <wp:effectExtent l="0" t="0" r="15240" b="190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931" cy="609600"/>
                        </a:xfrm>
                        <a:prstGeom prst="rect">
                          <a:avLst/>
                        </a:prstGeom>
                        <a:solidFill>
                          <a:srgbClr val="FFFFFF"/>
                        </a:solidFill>
                        <a:ln w="9525">
                          <a:solidFill>
                            <a:srgbClr val="000000"/>
                          </a:solidFill>
                          <a:miter lim="800000"/>
                          <a:headEnd/>
                          <a:tailEnd/>
                        </a:ln>
                      </wps:spPr>
                      <wps:txbx>
                        <w:txbxContent>
                          <w:p w:rsidR="002B74CF" w:rsidRPr="00E25EBF" w:rsidRDefault="009F6F9D" w:rsidP="00BB3D2E">
                            <w:pPr>
                              <w:spacing w:line="240" w:lineRule="auto"/>
                            </w:pPr>
                            <w:r>
                              <w:t>3.3</w:t>
                            </w:r>
                            <w:r w:rsidR="002B74CF" w:rsidRPr="00E25EBF">
                              <w:t xml:space="preserve"> – Inv</w:t>
                            </w:r>
                            <w:r>
                              <w:t>estimento na transformação e comercialização de produtos agrícolas</w:t>
                            </w:r>
                            <w:r w:rsidR="00E25EBF">
                              <w:t xml:space="preserve"> </w:t>
                            </w:r>
                            <w:r w:rsidR="002C3617">
                              <w:t>e 10.2 – Implementação das estratégias de desenvolvimento local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B6643" id="_x0000_s1027" type="#_x0000_t202" style="position:absolute;margin-left:265.65pt;margin-top:7.25pt;width:316.85pt;height:48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">
                <v:textbox>
                  <w:txbxContent>
                    <w:p w:rsidR="002B74CF" w:rsidRPr="00E25EBF" w:rsidRDefault="009F6F9D" w:rsidP="00BB3D2E">
                      <w:pPr>
                        <w:spacing w:line="240" w:lineRule="auto"/>
                      </w:pPr>
                      <w:r>
                        <w:t>3.3</w:t>
                      </w:r>
                      <w:r w:rsidR="002B74CF" w:rsidRPr="00E25EBF">
                        <w:t xml:space="preserve"> – Inv</w:t>
                      </w:r>
                      <w:r>
                        <w:t>estimento na transformação e comercialização de produtos agrícolas</w:t>
                      </w:r>
                      <w:r w:rsidR="00E25EBF">
                        <w:t xml:space="preserve"> </w:t>
                      </w:r>
                      <w:r w:rsidR="002C3617">
                        <w:t>e 10.2 – Implementação das estratégias de desenvolvimento local</w:t>
                      </w:r>
                    </w:p>
                  </w:txbxContent>
                </v:textbox>
                <w10:wrap anchorx="margin"/>
              </v:shape>
            </w:pict>
          </mc:Fallback>
        </mc:AlternateContent>
      </w:r>
    </w:p>
    <w:p w:rsidR="008A65AC" w:rsidRDefault="008A65AC">
      <w:pPr>
        <w:rPr>
          <w:b/>
        </w:rPr>
      </w:pPr>
      <w:r w:rsidRPr="000364BE">
        <w:rPr>
          <w:b/>
        </w:rPr>
        <w:t>CÓDIGO PDR</w:t>
      </w:r>
    </w:p>
    <w:p w:rsidR="002B74CF" w:rsidRPr="000364BE" w:rsidRDefault="00BB3D2E">
      <w:pPr>
        <w:rPr>
          <w:b/>
        </w:rPr>
      </w:pPr>
      <w:r w:rsidRPr="000364BE">
        <w:rPr>
          <w:b/>
          <w:noProof/>
          <w:lang w:eastAsia="pt-PT"/>
        </w:rPr>
        <mc:AlternateContent>
          <mc:Choice Requires="wps">
            <w:drawing>
              <wp:anchor distT="0" distB="0" distL="114300" distR="114300" simplePos="0" relativeHeight="251686912" behindDoc="0" locked="0" layoutInCell="1" allowOverlap="1" wp14:anchorId="17812E4C" wp14:editId="51D9D1E1">
                <wp:simplePos x="0" y="0"/>
                <wp:positionH relativeFrom="margin">
                  <wp:posOffset>1364226</wp:posOffset>
                </wp:positionH>
                <wp:positionV relativeFrom="paragraph">
                  <wp:posOffset>148525</wp:posOffset>
                </wp:positionV>
                <wp:extent cx="4066333" cy="678025"/>
                <wp:effectExtent l="0" t="0" r="10795" b="27305"/>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333" cy="678025"/>
                        </a:xfrm>
                        <a:prstGeom prst="rect">
                          <a:avLst/>
                        </a:prstGeom>
                        <a:solidFill>
                          <a:srgbClr val="FFFFFF"/>
                        </a:solidFill>
                        <a:ln w="9525">
                          <a:solidFill>
                            <a:srgbClr val="000000"/>
                          </a:solidFill>
                          <a:miter lim="800000"/>
                          <a:headEnd/>
                          <a:tailEnd/>
                        </a:ln>
                      </wps:spPr>
                      <wps:txbx>
                        <w:txbxContent>
                          <w:p w:rsidR="008A65AC" w:rsidRPr="00E25EBF" w:rsidRDefault="00DF0074" w:rsidP="008A65AC">
                            <w:r>
                              <w:t>3.3</w:t>
                            </w:r>
                            <w:r w:rsidR="00E25EBF" w:rsidRPr="00E25EBF">
                              <w:t>.2– Pequenos inve</w:t>
                            </w:r>
                            <w:r>
                              <w:t>stimentos na transformação e comercialização de produtos agrícolas</w:t>
                            </w:r>
                            <w:r w:rsidR="002C3617" w:rsidRPr="002C3617">
                              <w:t xml:space="preserve"> </w:t>
                            </w:r>
                            <w:r w:rsidR="002C3617">
                              <w:t>e 10.2.1.2</w:t>
                            </w:r>
                            <w:r w:rsidR="002C3617" w:rsidRPr="002C3617">
                              <w:t xml:space="preserve"> </w:t>
                            </w:r>
                            <w:r w:rsidR="002C3617">
                              <w:t xml:space="preserve">- </w:t>
                            </w:r>
                            <w:r w:rsidR="002C3617" w:rsidRPr="002C3617">
                              <w:t xml:space="preserve">Pequenos investimentos na </w:t>
                            </w:r>
                            <w:r w:rsidR="002C3617">
                              <w:t>transformação e comercialização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2E4C" id="_x0000_s1028" type="#_x0000_t202" style="position:absolute;margin-left:107.4pt;margin-top:11.7pt;width:320.2pt;height:53.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">
                <v:textbox>
                  <w:txbxContent>
                    <w:p w:rsidR="008A65AC" w:rsidRPr="00E25EBF" w:rsidRDefault="00DF0074" w:rsidP="008A65AC">
                      <w:r>
                        <w:t>3.3</w:t>
                      </w:r>
                      <w:r w:rsidR="00E25EBF" w:rsidRPr="00E25EBF">
                        <w:t>.2– Pequenos inve</w:t>
                      </w:r>
                      <w:r>
                        <w:t>stimentos na transformação e comercialização de produtos agrícolas</w:t>
                      </w:r>
                      <w:r w:rsidR="002C3617" w:rsidRPr="002C3617">
                        <w:t xml:space="preserve"> </w:t>
                      </w:r>
                      <w:r w:rsidR="002C3617">
                        <w:t>e 10.2.1.2</w:t>
                      </w:r>
                      <w:r w:rsidR="002C3617" w:rsidRPr="002C3617">
                        <w:t xml:space="preserve"> </w:t>
                      </w:r>
                      <w:r w:rsidR="002C3617">
                        <w:t xml:space="preserve">- </w:t>
                      </w:r>
                      <w:r w:rsidR="002C3617" w:rsidRPr="002C3617">
                        <w:t xml:space="preserve">Pequenos investimentos na </w:t>
                      </w:r>
                      <w:r w:rsidR="002C3617">
                        <w:t>transformação e comercialização</w:t>
                      </w:r>
                    </w:p>
                  </w:txbxContent>
                </v:textbox>
                <w10:wrap anchorx="margin"/>
              </v:shape>
            </w:pict>
          </mc:Fallback>
        </mc:AlternateContent>
      </w:r>
    </w:p>
    <w:p w:rsidR="008A65AC" w:rsidRDefault="005E65BD">
      <w:pPr>
        <w:rPr>
          <w:b/>
        </w:rPr>
      </w:pPr>
      <w:r w:rsidRPr="000364BE">
        <w:rPr>
          <w:b/>
        </w:rPr>
        <w:t>OPERAÇ</w:t>
      </w:r>
      <w:r w:rsidR="003A0907">
        <w:rPr>
          <w:b/>
        </w:rPr>
        <w:t>ÃO</w:t>
      </w:r>
    </w:p>
    <w:p w:rsidR="00BF538D" w:rsidRPr="000364BE" w:rsidRDefault="00BF538D">
      <w:pPr>
        <w:rPr>
          <w:b/>
        </w:rPr>
      </w:pPr>
    </w:p>
    <w:p w:rsidR="00700918" w:rsidRDefault="002C3617" w:rsidP="00EC7473">
      <w:pPr>
        <w:jc w:val="both"/>
        <w:rPr>
          <w:b/>
        </w:rPr>
      </w:pPr>
      <w:r w:rsidRPr="00EB3176">
        <w:rPr>
          <w:i/>
          <w:noProof/>
          <w:sz w:val="14"/>
          <w:lang w:eastAsia="pt-PT"/>
        </w:rPr>
        <mc:AlternateContent>
          <mc:Choice Requires="wps">
            <w:drawing>
              <wp:anchor distT="0" distB="0" distL="114300" distR="114300" simplePos="0" relativeHeight="251688960" behindDoc="0" locked="0" layoutInCell="1" allowOverlap="1" wp14:anchorId="53D29F73" wp14:editId="523BDA7D">
                <wp:simplePos x="0" y="0"/>
                <wp:positionH relativeFrom="column">
                  <wp:posOffset>1352045</wp:posOffset>
                </wp:positionH>
                <wp:positionV relativeFrom="paragraph">
                  <wp:posOffset>7452</wp:posOffset>
                </wp:positionV>
                <wp:extent cx="4035800" cy="503853"/>
                <wp:effectExtent l="0" t="0" r="22225" b="10795"/>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800" cy="503853"/>
                        </a:xfrm>
                        <a:prstGeom prst="rect">
                          <a:avLst/>
                        </a:prstGeom>
                        <a:solidFill>
                          <a:srgbClr val="FFFFFF"/>
                        </a:solidFill>
                        <a:ln w="9525">
                          <a:solidFill>
                            <a:srgbClr val="000000"/>
                          </a:solidFill>
                          <a:miter lim="800000"/>
                          <a:headEnd/>
                          <a:tailEnd/>
                        </a:ln>
                      </wps:spPr>
                      <wps:txbx>
                        <w:txbxContent>
                          <w:p w:rsidR="003E6932" w:rsidRPr="00512CC8" w:rsidRDefault="003E6932" w:rsidP="003E6932">
                            <w:pPr>
                              <w:rPr>
                                <w:sz w:val="20"/>
                              </w:rPr>
                            </w:pPr>
                            <w:r w:rsidRPr="00512CC8">
                              <w:rPr>
                                <w:sz w:val="20"/>
                              </w:rPr>
                              <w:t>M</w:t>
                            </w:r>
                            <w:r w:rsidR="00821E78">
                              <w:rPr>
                                <w:sz w:val="20"/>
                              </w:rPr>
                              <w:t>04</w:t>
                            </w:r>
                            <w:r w:rsidRPr="00512CC8">
                              <w:rPr>
                                <w:sz w:val="20"/>
                              </w:rPr>
                              <w:t xml:space="preserve"> – </w:t>
                            </w:r>
                            <w:r w:rsidR="00821E78" w:rsidRPr="00C34D77">
                              <w:t>Investimentos em ativos físicos</w:t>
                            </w:r>
                            <w:r w:rsidR="002C3617">
                              <w:t xml:space="preserve"> e M19 – Apoio ao desenvolvimento local de base comunitária (DLBC)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29F73" id="_x0000_s1029" type="#_x0000_t202" style="position:absolute;left:0;text-align:left;margin-left:106.45pt;margin-top:.6pt;width:317.8pt;height:3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">
                <v:textbox>
                  <w:txbxContent>
                    <w:p w:rsidR="003E6932" w:rsidRPr="00512CC8" w:rsidRDefault="003E6932" w:rsidP="003E6932">
                      <w:pPr>
                        <w:rPr>
                          <w:sz w:val="20"/>
                        </w:rPr>
                      </w:pPr>
                      <w:r w:rsidRPr="00512CC8">
                        <w:rPr>
                          <w:sz w:val="20"/>
                        </w:rPr>
                        <w:t>M</w:t>
                      </w:r>
                      <w:r w:rsidR="00821E78">
                        <w:rPr>
                          <w:sz w:val="20"/>
                        </w:rPr>
                        <w:t>04</w:t>
                      </w:r>
                      <w:r w:rsidRPr="00512CC8">
                        <w:rPr>
                          <w:sz w:val="20"/>
                        </w:rPr>
                        <w:t xml:space="preserve"> – </w:t>
                      </w:r>
                      <w:r w:rsidR="00821E78" w:rsidRPr="00C34D77">
                        <w:t>Investimentos em ativos físicos</w:t>
                      </w:r>
                      <w:r w:rsidR="002C3617">
                        <w:t xml:space="preserve"> e M19 – Apoio ao desenvolvimento local de base comunitária (DLBC) LEADER</w:t>
                      </w:r>
                    </w:p>
                  </w:txbxContent>
                </v:textbox>
              </v:shape>
            </w:pict>
          </mc:Fallback>
        </mc:AlternateContent>
      </w:r>
      <w:r w:rsidR="003E6932" w:rsidRPr="000364BE">
        <w:rPr>
          <w:b/>
        </w:rPr>
        <w:t>MEDIDA COMISSÃO</w:t>
      </w:r>
    </w:p>
    <w:p w:rsidR="00E25EBF" w:rsidRDefault="00E25EBF" w:rsidP="00EC7473">
      <w:pPr>
        <w:jc w:val="both"/>
        <w:rPr>
          <w:b/>
        </w:rPr>
      </w:pPr>
      <w:r w:rsidRPr="000364BE">
        <w:rPr>
          <w:b/>
          <w:noProof/>
          <w:lang w:eastAsia="pt-PT"/>
        </w:rPr>
        <mc:AlternateContent>
          <mc:Choice Requires="wps">
            <w:drawing>
              <wp:anchor distT="0" distB="0" distL="114300" distR="114300" simplePos="0" relativeHeight="251691008" behindDoc="0" locked="0" layoutInCell="1" allowOverlap="1" wp14:anchorId="540AA723" wp14:editId="37BAD1F1">
                <wp:simplePos x="0" y="0"/>
                <wp:positionH relativeFrom="margin">
                  <wp:posOffset>1361945</wp:posOffset>
                </wp:positionH>
                <wp:positionV relativeFrom="paragraph">
                  <wp:posOffset>293461</wp:posOffset>
                </wp:positionV>
                <wp:extent cx="3972153" cy="504749"/>
                <wp:effectExtent l="0" t="0" r="28575" b="1016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153" cy="504749"/>
                        </a:xfrm>
                        <a:prstGeom prst="rect">
                          <a:avLst/>
                        </a:prstGeom>
                        <a:solidFill>
                          <a:srgbClr val="FFFFFF"/>
                        </a:solidFill>
                        <a:ln w="9525">
                          <a:solidFill>
                            <a:srgbClr val="000000"/>
                          </a:solidFill>
                          <a:miter lim="800000"/>
                          <a:headEnd/>
                          <a:tailEnd/>
                        </a:ln>
                      </wps:spPr>
                      <wps:txbx>
                        <w:txbxContent>
                          <w:p w:rsidR="003E6932" w:rsidRPr="00CF2879" w:rsidRDefault="00821E78" w:rsidP="00512CC8">
                            <w:pPr>
                              <w:jc w:val="both"/>
                            </w:pPr>
                            <w:r>
                              <w:t>4</w:t>
                            </w:r>
                            <w:r w:rsidR="009F6F9D">
                              <w:t>.2</w:t>
                            </w:r>
                            <w:r w:rsidR="00CF2879">
                              <w:t xml:space="preserve"> - </w:t>
                            </w:r>
                            <w:r w:rsidR="00775B0B">
                              <w:t>Investimentos na transformação/comercialização e/ou no desenvolvimento de produtos agrícolas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A723" id="_x0000_s1030" type="#_x0000_t202" style="position:absolute;left:0;text-align:left;margin-left:107.25pt;margin-top:23.1pt;width:312.75pt;height:39.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">
                <v:textbox>
                  <w:txbxContent>
                    <w:p w:rsidR="003E6932" w:rsidRPr="00CF2879" w:rsidRDefault="00821E78" w:rsidP="00512CC8">
                      <w:pPr>
                        <w:jc w:val="both"/>
                      </w:pPr>
                      <w:r>
                        <w:t>4</w:t>
                      </w:r>
                      <w:r w:rsidR="009F6F9D">
                        <w:t>.2</w:t>
                      </w:r>
                      <w:r w:rsidR="00CF2879">
                        <w:t xml:space="preserve"> - </w:t>
                      </w:r>
                      <w:r w:rsidR="00775B0B">
                        <w:t>Investimentos na transformação/comercialização e/ou no desenvolvimento de produtos agrícolas</w:t>
                      </w:r>
                    </w:p>
                  </w:txbxContent>
                </v:textbox>
                <w10:wrap anchorx="margin"/>
              </v:shape>
            </w:pict>
          </mc:Fallback>
        </mc:AlternateContent>
      </w:r>
    </w:p>
    <w:p w:rsidR="00405688" w:rsidRPr="000364BE" w:rsidRDefault="003E6932">
      <w:pPr>
        <w:rPr>
          <w:b/>
        </w:rPr>
      </w:pPr>
      <w:r w:rsidRPr="000364BE">
        <w:rPr>
          <w:b/>
        </w:rPr>
        <w:t>SUB-MEDIDA</w:t>
      </w:r>
    </w:p>
    <w:p w:rsidR="008A65AC" w:rsidRDefault="008A65AC"/>
    <w:p w:rsidR="00DD7B65" w:rsidRPr="00E33E44" w:rsidRDefault="00DD7B65" w:rsidP="00DD7B65">
      <w:pPr>
        <w:rPr>
          <w:u w:val="single"/>
        </w:rPr>
      </w:pPr>
      <w:r w:rsidRPr="00E33E44">
        <w:rPr>
          <w:noProof/>
          <w:u w:val="single"/>
          <w:lang w:eastAsia="pt-PT"/>
        </w:rPr>
        <mc:AlternateContent>
          <mc:Choice Requires="wps">
            <w:drawing>
              <wp:anchor distT="0" distB="0" distL="114300" distR="114300" simplePos="0" relativeHeight="251725824" behindDoc="0" locked="0" layoutInCell="1" allowOverlap="1" wp14:anchorId="6F942EA1" wp14:editId="22CDCEAD">
                <wp:simplePos x="0" y="0"/>
                <wp:positionH relativeFrom="column">
                  <wp:posOffset>-4004</wp:posOffset>
                </wp:positionH>
                <wp:positionV relativeFrom="paragraph">
                  <wp:posOffset>238592</wp:posOffset>
                </wp:positionV>
                <wp:extent cx="5410264" cy="864636"/>
                <wp:effectExtent l="0" t="0" r="19050" b="12065"/>
                <wp:wrapNone/>
                <wp:docPr id="3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64" cy="864636"/>
                        </a:xfrm>
                        <a:prstGeom prst="rect">
                          <a:avLst/>
                        </a:prstGeom>
                        <a:solidFill>
                          <a:srgbClr val="FFFFFF"/>
                        </a:solidFill>
                        <a:ln w="9525">
                          <a:solidFill>
                            <a:srgbClr val="000000"/>
                          </a:solidFill>
                          <a:miter lim="800000"/>
                          <a:headEnd/>
                          <a:tailEnd/>
                        </a:ln>
                      </wps:spPr>
                      <wps:txbx>
                        <w:txbxContent>
                          <w:p w:rsidR="00DD7B65" w:rsidRDefault="00512CC8" w:rsidP="00A80B1F">
                            <w:pPr>
                              <w:spacing w:after="0"/>
                              <w:contextualSpacing/>
                            </w:pPr>
                            <w:bookmarkStart w:id="0" w:name="_GoBack"/>
                            <w:r w:rsidRPr="00A80B1F">
                              <w:t>Regulamento CE 1303</w:t>
                            </w:r>
                            <w:r w:rsidR="00B41F3C">
                              <w:t>/2013</w:t>
                            </w:r>
                            <w:r w:rsidR="00F40FC0">
                              <w:t>, art.18º e art.65º</w:t>
                            </w:r>
                          </w:p>
                          <w:p w:rsidR="00807EE3" w:rsidRPr="00807EE3" w:rsidRDefault="00807EE3" w:rsidP="00807EE3">
                            <w:pPr>
                              <w:spacing w:after="0"/>
                              <w:contextualSpacing/>
                            </w:pPr>
                            <w:r>
                              <w:t>Po</w:t>
                            </w:r>
                            <w:r w:rsidR="00E25EBF" w:rsidRPr="00E25EBF">
                              <w:t>rtaria n.º 107/2015, de 13 de abril</w:t>
                            </w:r>
                          </w:p>
                          <w:p w:rsidR="00807EE3" w:rsidRDefault="00807EE3" w:rsidP="00807EE3">
                            <w:pPr>
                              <w:spacing w:after="0"/>
                              <w:contextualSpacing/>
                            </w:pPr>
                            <w:r w:rsidRPr="00807EE3">
                              <w:t>Porta</w:t>
                            </w:r>
                            <w:r>
                              <w:t>ria n.º 73/2021, de 30 de março</w:t>
                            </w:r>
                          </w:p>
                          <w:p w:rsidR="002C3617" w:rsidRDefault="002C3617" w:rsidP="00807EE3">
                            <w:pPr>
                              <w:spacing w:after="0"/>
                              <w:contextualSpacing/>
                            </w:pPr>
                            <w:r>
                              <w:t>Portaria n.º 152/2016, de 25 de maio</w:t>
                            </w:r>
                          </w:p>
                          <w:p w:rsidR="002C3617" w:rsidRPr="00807EE3" w:rsidRDefault="002C3617" w:rsidP="00807EE3">
                            <w:pPr>
                              <w:spacing w:after="0"/>
                              <w:contextualSpacing/>
                            </w:pPr>
                          </w:p>
                          <w:p w:rsidR="007A5EB8" w:rsidRDefault="007A5EB8" w:rsidP="00E25EBF">
                            <w:pPr>
                              <w:spacing w:after="0"/>
                              <w:contextualSpacing/>
                            </w:pPr>
                          </w:p>
                          <w:bookmarkEnd w:id="0"/>
                          <w:p w:rsidR="00807EE3" w:rsidRPr="00A80B1F" w:rsidRDefault="00807EE3" w:rsidP="00E25EBF">
                            <w:pPr>
                              <w:spacing w:after="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42EA1" id="_x0000_s1031" type="#_x0000_t202" style="position:absolute;margin-left:-.3pt;margin-top:18.8pt;width:426pt;height:6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">
                <v:textbox>
                  <w:txbxContent>
                    <w:p w:rsidR="00DD7B65" w:rsidRDefault="00512CC8" w:rsidP="00A80B1F">
                      <w:pPr>
                        <w:spacing w:after="0"/>
                        <w:contextualSpacing/>
                      </w:pPr>
                      <w:bookmarkStart w:id="1" w:name="_GoBack"/>
                      <w:r w:rsidRPr="00A80B1F">
                        <w:t>Regulamento CE 1303</w:t>
                      </w:r>
                      <w:r w:rsidR="00B41F3C">
                        <w:t>/2013</w:t>
                      </w:r>
                      <w:r w:rsidR="00F40FC0">
                        <w:t>, art.18º e art.65º</w:t>
                      </w:r>
                    </w:p>
                    <w:p w:rsidR="00807EE3" w:rsidRPr="00807EE3" w:rsidRDefault="00807EE3" w:rsidP="00807EE3">
                      <w:pPr>
                        <w:spacing w:after="0"/>
                        <w:contextualSpacing/>
                      </w:pPr>
                      <w:r>
                        <w:t>Po</w:t>
                      </w:r>
                      <w:r w:rsidR="00E25EBF" w:rsidRPr="00E25EBF">
                        <w:t>rtaria n.º 107/2015, de 13 de abril</w:t>
                      </w:r>
                    </w:p>
                    <w:p w:rsidR="00807EE3" w:rsidRDefault="00807EE3" w:rsidP="00807EE3">
                      <w:pPr>
                        <w:spacing w:after="0"/>
                        <w:contextualSpacing/>
                      </w:pPr>
                      <w:r w:rsidRPr="00807EE3">
                        <w:t>Porta</w:t>
                      </w:r>
                      <w:r>
                        <w:t>ria n.º 73/2021, de 30 de março</w:t>
                      </w:r>
                    </w:p>
                    <w:p w:rsidR="002C3617" w:rsidRDefault="002C3617" w:rsidP="00807EE3">
                      <w:pPr>
                        <w:spacing w:after="0"/>
                        <w:contextualSpacing/>
                      </w:pPr>
                      <w:r>
                        <w:t>Portaria n.º 152/2016, de 25 de maio</w:t>
                      </w:r>
                    </w:p>
                    <w:p w:rsidR="002C3617" w:rsidRPr="00807EE3" w:rsidRDefault="002C3617" w:rsidP="00807EE3">
                      <w:pPr>
                        <w:spacing w:after="0"/>
                        <w:contextualSpacing/>
                      </w:pPr>
                    </w:p>
                    <w:p w:rsidR="007A5EB8" w:rsidRDefault="007A5EB8" w:rsidP="00E25EBF">
                      <w:pPr>
                        <w:spacing w:after="0"/>
                        <w:contextualSpacing/>
                      </w:pPr>
                    </w:p>
                    <w:bookmarkEnd w:id="1"/>
                    <w:p w:rsidR="00807EE3" w:rsidRPr="00A80B1F" w:rsidRDefault="00807EE3" w:rsidP="00E25EBF">
                      <w:pPr>
                        <w:spacing w:after="0"/>
                        <w:contextualSpacing/>
                      </w:pPr>
                    </w:p>
                  </w:txbxContent>
                </v:textbox>
              </v:shape>
            </w:pict>
          </mc:Fallback>
        </mc:AlternateContent>
      </w:r>
      <w:r w:rsidRPr="00E33E44">
        <w:rPr>
          <w:u w:val="single"/>
        </w:rPr>
        <w:t>LEGISLAÇÃO COMUNITÁRIA E NACIONAL</w:t>
      </w:r>
    </w:p>
    <w:p w:rsidR="00DD7B65" w:rsidRDefault="00DD7B65"/>
    <w:p w:rsidR="00DD7B65" w:rsidRDefault="00DD7B65" w:rsidP="00DD7B65"/>
    <w:p w:rsidR="00150181" w:rsidRDefault="00150181" w:rsidP="00DD7B65">
      <w:pPr>
        <w:rPr>
          <w:u w:val="single"/>
        </w:rPr>
      </w:pPr>
      <w:r>
        <w:rPr>
          <w:noProof/>
          <w:lang w:eastAsia="pt-PT"/>
        </w:rPr>
        <mc:AlternateContent>
          <mc:Choice Requires="wps">
            <w:drawing>
              <wp:anchor distT="0" distB="0" distL="114300" distR="114300" simplePos="0" relativeHeight="251727872" behindDoc="0" locked="0" layoutInCell="1" allowOverlap="1" wp14:anchorId="21E78D0B" wp14:editId="4B1AB430">
                <wp:simplePos x="0" y="0"/>
                <wp:positionH relativeFrom="column">
                  <wp:posOffset>2888269</wp:posOffset>
                </wp:positionH>
                <wp:positionV relativeFrom="paragraph">
                  <wp:posOffset>213764</wp:posOffset>
                </wp:positionV>
                <wp:extent cx="2517891" cy="457200"/>
                <wp:effectExtent l="0" t="0" r="15875" b="19050"/>
                <wp:wrapNone/>
                <wp:docPr id="3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891" cy="457200"/>
                        </a:xfrm>
                        <a:prstGeom prst="rect">
                          <a:avLst/>
                        </a:prstGeom>
                        <a:solidFill>
                          <a:srgbClr val="FFFFFF"/>
                        </a:solidFill>
                        <a:ln w="9525">
                          <a:solidFill>
                            <a:srgbClr val="000000"/>
                          </a:solidFill>
                          <a:miter lim="800000"/>
                          <a:headEnd/>
                          <a:tailEnd/>
                        </a:ln>
                      </wps:spPr>
                      <wps:txbx>
                        <w:txbxContent>
                          <w:p w:rsidR="00702995" w:rsidRDefault="00DD7B65" w:rsidP="00702995">
                            <w:pPr>
                              <w:spacing w:after="0" w:line="240" w:lineRule="auto"/>
                              <w:jc w:val="center"/>
                            </w:pPr>
                            <w:r>
                              <w:t xml:space="preserve">Custos Unitários </w:t>
                            </w:r>
                          </w:p>
                          <w:p w:rsidR="00DD7B65" w:rsidRDefault="00702995" w:rsidP="00702995">
                            <w:pPr>
                              <w:spacing w:after="0" w:line="240" w:lineRule="auto"/>
                              <w:jc w:val="center"/>
                            </w:pPr>
                            <w:proofErr w:type="gramStart"/>
                            <w:r>
                              <w:t>al</w:t>
                            </w:r>
                            <w:proofErr w:type="gramEnd"/>
                            <w:r>
                              <w:t>. b) n.º 1 do Art.º 67º  Reg.1305/2013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8D0B" id="_x0000_s1032" type="#_x0000_t202" style="position:absolute;margin-left:227.4pt;margin-top:16.85pt;width:198.2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">
                <v:textbox>
                  <w:txbxContent>
                    <w:p w:rsidR="00702995" w:rsidRDefault="00DD7B65" w:rsidP="00702995">
                      <w:pPr>
                        <w:spacing w:after="0" w:line="240" w:lineRule="auto"/>
                        <w:jc w:val="center"/>
                      </w:pPr>
                      <w:r>
                        <w:t xml:space="preserve">Custos Unitários </w:t>
                      </w:r>
                    </w:p>
                    <w:p w:rsidR="00DD7B65" w:rsidRDefault="00702995" w:rsidP="00702995">
                      <w:pPr>
                        <w:spacing w:after="0" w:line="240" w:lineRule="auto"/>
                        <w:jc w:val="center"/>
                      </w:pPr>
                      <w:proofErr w:type="gramStart"/>
                      <w:r>
                        <w:t>al</w:t>
                      </w:r>
                      <w:proofErr w:type="gramEnd"/>
                      <w:r>
                        <w:t>. b) n.º 1 do Art.º 67º  Reg.1305/2013</w:t>
                      </w:r>
                    </w:p>
                  </w:txbxContent>
                </v:textbox>
              </v:shape>
            </w:pict>
          </mc:Fallback>
        </mc:AlternateContent>
      </w:r>
    </w:p>
    <w:p w:rsidR="00DD7B65" w:rsidRPr="00E33E44" w:rsidRDefault="00DD7B65" w:rsidP="00DD7B65">
      <w:pPr>
        <w:rPr>
          <w:u w:val="single"/>
        </w:rPr>
      </w:pPr>
      <w:r w:rsidRPr="00E33E44">
        <w:rPr>
          <w:u w:val="single"/>
        </w:rPr>
        <w:t>FORMA DA SUBVENÇ</w:t>
      </w:r>
      <w:r w:rsidR="006A5545" w:rsidRPr="00E33E44">
        <w:rPr>
          <w:u w:val="single"/>
        </w:rPr>
        <w:t>ÃO</w:t>
      </w:r>
      <w:r w:rsidRPr="00E33E44">
        <w:rPr>
          <w:u w:val="single"/>
        </w:rPr>
        <w:t xml:space="preserve"> E AJUDA REEMBOLSÁVEL</w:t>
      </w:r>
    </w:p>
    <w:p w:rsidR="008A65AC" w:rsidRPr="00282C3A" w:rsidRDefault="000364BE">
      <w:pPr>
        <w:rPr>
          <w:rFonts w:ascii="Verdana" w:hAnsi="Verdana"/>
          <w:caps/>
          <w:sz w:val="18"/>
          <w:szCs w:val="18"/>
          <w:u w:val="single"/>
        </w:rPr>
      </w:pPr>
      <w:r w:rsidRPr="00282C3A">
        <w:rPr>
          <w:rFonts w:ascii="Verdana" w:hAnsi="Verdana"/>
          <w:caps/>
          <w:noProof/>
          <w:sz w:val="18"/>
          <w:szCs w:val="18"/>
          <w:u w:val="single"/>
          <w:lang w:eastAsia="pt-PT"/>
        </w:rPr>
        <mc:AlternateContent>
          <mc:Choice Requires="wps">
            <w:drawing>
              <wp:anchor distT="0" distB="0" distL="114300" distR="114300" simplePos="0" relativeHeight="251695104" behindDoc="0" locked="0" layoutInCell="1" allowOverlap="1" wp14:anchorId="7BAC7CA7" wp14:editId="233710C6">
                <wp:simplePos x="0" y="0"/>
                <wp:positionH relativeFrom="column">
                  <wp:posOffset>15189</wp:posOffset>
                </wp:positionH>
                <wp:positionV relativeFrom="paragraph">
                  <wp:posOffset>217139</wp:posOffset>
                </wp:positionV>
                <wp:extent cx="5398077" cy="435196"/>
                <wp:effectExtent l="0" t="0" r="12700" b="22225"/>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077" cy="435196"/>
                        </a:xfrm>
                        <a:prstGeom prst="rect">
                          <a:avLst/>
                        </a:prstGeom>
                        <a:solidFill>
                          <a:srgbClr val="FFFFFF"/>
                        </a:solidFill>
                        <a:ln w="9525">
                          <a:solidFill>
                            <a:srgbClr val="000000"/>
                          </a:solidFill>
                          <a:miter lim="800000"/>
                          <a:headEnd/>
                          <a:tailEnd/>
                        </a:ln>
                      </wps:spPr>
                      <wps:txbx>
                        <w:txbxContent>
                          <w:p w:rsidR="00A20D69" w:rsidRPr="0074404B" w:rsidRDefault="003413FE" w:rsidP="003A0907">
                            <w:pPr>
                              <w:spacing w:after="0"/>
                              <w:jc w:val="both"/>
                            </w:pPr>
                            <w:r>
                              <w:t xml:space="preserve">Os custos unitários definidos são apresentados no </w:t>
                            </w:r>
                            <w:r w:rsidR="00775B0B">
                              <w:t>ponto 1.2</w:t>
                            </w:r>
                            <w:r w:rsidR="00260292">
                              <w:t xml:space="preserve"> do método e forma de elaboração do cálculo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C7CA7" id="_x0000_s1033" type="#_x0000_t202" style="position:absolute;margin-left:1.2pt;margin-top:17.1pt;width:425.05pt;height:3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">
                <v:textbox>
                  <w:txbxContent>
                    <w:p w:rsidR="00A20D69" w:rsidRPr="0074404B" w:rsidRDefault="003413FE" w:rsidP="003A0907">
                      <w:pPr>
                        <w:spacing w:after="0"/>
                        <w:jc w:val="both"/>
                      </w:pPr>
                      <w:r>
                        <w:t xml:space="preserve">Os custos unitários definidos são apresentados no </w:t>
                      </w:r>
                      <w:r w:rsidR="00775B0B">
                        <w:t>ponto 1.2</w:t>
                      </w:r>
                      <w:r w:rsidR="00260292">
                        <w:t xml:space="preserve"> do método e forma de elaboração do cálculo</w:t>
                      </w:r>
                    </w:p>
                  </w:txbxContent>
                </v:textbox>
              </v:shape>
            </w:pict>
          </mc:Fallback>
        </mc:AlternateContent>
      </w:r>
      <w:r w:rsidR="003A0907" w:rsidRPr="00282C3A">
        <w:rPr>
          <w:rFonts w:ascii="Verdana" w:hAnsi="Verdana"/>
          <w:caps/>
          <w:sz w:val="18"/>
          <w:szCs w:val="18"/>
          <w:u w:val="single"/>
        </w:rPr>
        <w:t>Custo Unitários definidos</w:t>
      </w:r>
    </w:p>
    <w:p w:rsidR="000364BE" w:rsidRPr="00282C3A" w:rsidRDefault="000364BE" w:rsidP="0074404B">
      <w:pPr>
        <w:pStyle w:val="PargrafodaLista"/>
        <w:numPr>
          <w:ilvl w:val="0"/>
          <w:numId w:val="2"/>
        </w:numPr>
        <w:rPr>
          <w:rFonts w:ascii="Verdana" w:hAnsi="Verdana"/>
          <w:sz w:val="18"/>
          <w:szCs w:val="18"/>
        </w:rPr>
      </w:pPr>
    </w:p>
    <w:p w:rsidR="006A2771" w:rsidRPr="00282C3A" w:rsidRDefault="006A2771">
      <w:pPr>
        <w:rPr>
          <w:rFonts w:ascii="Verdana" w:hAnsi="Verdana"/>
          <w:caps/>
          <w:sz w:val="18"/>
          <w:szCs w:val="18"/>
          <w:u w:val="single"/>
        </w:rPr>
      </w:pPr>
    </w:p>
    <w:p w:rsidR="000364BE" w:rsidRPr="00282C3A" w:rsidRDefault="00B36E2E">
      <w:pPr>
        <w:rPr>
          <w:rFonts w:ascii="Verdana" w:hAnsi="Verdana"/>
          <w:caps/>
          <w:sz w:val="18"/>
          <w:szCs w:val="18"/>
          <w:u w:val="single"/>
        </w:rPr>
      </w:pPr>
      <w:r w:rsidRPr="00282C3A">
        <w:rPr>
          <w:rFonts w:ascii="Verdana" w:hAnsi="Verdana"/>
          <w:caps/>
          <w:noProof/>
          <w:sz w:val="18"/>
          <w:szCs w:val="18"/>
          <w:u w:val="single"/>
          <w:lang w:eastAsia="pt-PT"/>
        </w:rPr>
        <mc:AlternateContent>
          <mc:Choice Requires="wps">
            <w:drawing>
              <wp:anchor distT="0" distB="0" distL="114300" distR="114300" simplePos="0" relativeHeight="251697152" behindDoc="0" locked="0" layoutInCell="1" allowOverlap="1" wp14:anchorId="40F04D71" wp14:editId="5DD7C569">
                <wp:simplePos x="0" y="0"/>
                <wp:positionH relativeFrom="column">
                  <wp:posOffset>39091</wp:posOffset>
                </wp:positionH>
                <wp:positionV relativeFrom="paragraph">
                  <wp:posOffset>257658</wp:posOffset>
                </wp:positionV>
                <wp:extent cx="5391302" cy="607161"/>
                <wp:effectExtent l="0" t="0" r="19050" b="2159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302" cy="607161"/>
                        </a:xfrm>
                        <a:prstGeom prst="rect">
                          <a:avLst/>
                        </a:prstGeom>
                        <a:solidFill>
                          <a:srgbClr val="FFFFFF"/>
                        </a:solidFill>
                        <a:ln w="9525">
                          <a:solidFill>
                            <a:srgbClr val="000000"/>
                          </a:solidFill>
                          <a:miter lim="800000"/>
                          <a:headEnd/>
                          <a:tailEnd/>
                        </a:ln>
                      </wps:spPr>
                      <wps:txbx>
                        <w:txbxContent>
                          <w:p w:rsidR="0050056F" w:rsidRDefault="0050056F" w:rsidP="00807EE3">
                            <w:pPr>
                              <w:spacing w:after="0"/>
                              <w:jc w:val="both"/>
                              <w:rPr>
                                <w:sz w:val="20"/>
                                <w:szCs w:val="20"/>
                              </w:rPr>
                            </w:pPr>
                          </w:p>
                          <w:p w:rsidR="00DF0074" w:rsidRDefault="00DF0074" w:rsidP="00DF0074">
                            <w:pPr>
                              <w:spacing w:after="0" w:line="240" w:lineRule="auto"/>
                              <w:jc w:val="both"/>
                              <w:rPr>
                                <w:rFonts w:cstheme="minorHAnsi"/>
                              </w:rPr>
                            </w:pPr>
                            <w:r>
                              <w:rPr>
                                <w:rFonts w:cstheme="minorHAnsi"/>
                              </w:rPr>
                              <w:t>Os custos referem-se à aquisição de depósitos de armazenagem de vinho em aço inox 304 e/ou 316.</w:t>
                            </w:r>
                          </w:p>
                          <w:p w:rsidR="00B52933" w:rsidRPr="00B36E2E" w:rsidRDefault="00B52933" w:rsidP="00807EE3">
                            <w:pPr>
                              <w:spacing w:after="0"/>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04D71" id="_x0000_s1034" type="#_x0000_t202" style="position:absolute;margin-left:3.1pt;margin-top:20.3pt;width:424.5pt;height:4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">
                <v:textbox>
                  <w:txbxContent>
                    <w:p w:rsidR="0050056F" w:rsidRDefault="0050056F" w:rsidP="00807EE3">
                      <w:pPr>
                        <w:spacing w:after="0"/>
                        <w:jc w:val="both"/>
                        <w:rPr>
                          <w:sz w:val="20"/>
                          <w:szCs w:val="20"/>
                        </w:rPr>
                      </w:pPr>
                    </w:p>
                    <w:p w:rsidR="00DF0074" w:rsidRDefault="00DF0074" w:rsidP="00DF0074">
                      <w:pPr>
                        <w:spacing w:after="0" w:line="240" w:lineRule="auto"/>
                        <w:jc w:val="both"/>
                        <w:rPr>
                          <w:rFonts w:cstheme="minorHAnsi"/>
                        </w:rPr>
                      </w:pPr>
                      <w:r>
                        <w:rPr>
                          <w:rFonts w:cstheme="minorHAnsi"/>
                        </w:rPr>
                        <w:t>Os custos referem-se à aquisição de depósitos de armazenagem de vinho em aço inox 304 e/ou 316.</w:t>
                      </w:r>
                    </w:p>
                    <w:p w:rsidR="00B52933" w:rsidRPr="00B36E2E" w:rsidRDefault="00B52933" w:rsidP="00807EE3">
                      <w:pPr>
                        <w:spacing w:after="0"/>
                        <w:jc w:val="both"/>
                        <w:rPr>
                          <w:sz w:val="20"/>
                          <w:szCs w:val="20"/>
                        </w:rPr>
                      </w:pPr>
                    </w:p>
                  </w:txbxContent>
                </v:textbox>
              </v:shape>
            </w:pict>
          </mc:Fallback>
        </mc:AlternateContent>
      </w:r>
      <w:r w:rsidR="00CE2C0C" w:rsidRPr="00282C3A">
        <w:rPr>
          <w:rFonts w:ascii="Verdana" w:hAnsi="Verdana"/>
          <w:caps/>
          <w:sz w:val="18"/>
          <w:szCs w:val="18"/>
          <w:u w:val="single"/>
        </w:rPr>
        <w:t>Despesas consideradas na formação do custo unitário</w:t>
      </w:r>
    </w:p>
    <w:p w:rsidR="000364BE" w:rsidRPr="00282C3A" w:rsidRDefault="000364BE">
      <w:pPr>
        <w:rPr>
          <w:rFonts w:ascii="Verdana" w:hAnsi="Verdana"/>
          <w:sz w:val="18"/>
          <w:szCs w:val="18"/>
        </w:rPr>
      </w:pPr>
    </w:p>
    <w:p w:rsidR="000364BE" w:rsidRPr="00282C3A" w:rsidRDefault="000364BE">
      <w:pPr>
        <w:rPr>
          <w:rFonts w:ascii="Verdana" w:hAnsi="Verdana"/>
          <w:sz w:val="18"/>
          <w:szCs w:val="18"/>
        </w:rPr>
      </w:pPr>
    </w:p>
    <w:p w:rsidR="003A0907" w:rsidRPr="00282C3A" w:rsidRDefault="003A0907" w:rsidP="00085E21">
      <w:pPr>
        <w:rPr>
          <w:rFonts w:ascii="Verdana" w:hAnsi="Verdana"/>
          <w:sz w:val="18"/>
          <w:szCs w:val="18"/>
          <w:u w:val="single"/>
        </w:rPr>
      </w:pPr>
    </w:p>
    <w:p w:rsidR="003A0907" w:rsidRPr="00282C3A" w:rsidRDefault="003A0907" w:rsidP="00085E21">
      <w:pPr>
        <w:rPr>
          <w:rFonts w:ascii="Verdana" w:hAnsi="Verdana"/>
          <w:sz w:val="18"/>
          <w:szCs w:val="18"/>
          <w:u w:val="single"/>
        </w:rPr>
      </w:pPr>
    </w:p>
    <w:p w:rsidR="00BF538D" w:rsidRPr="00282C3A" w:rsidRDefault="00BF538D" w:rsidP="00085E21">
      <w:pPr>
        <w:rPr>
          <w:rFonts w:ascii="Verdana" w:hAnsi="Verdana"/>
          <w:sz w:val="18"/>
          <w:szCs w:val="18"/>
          <w:u w:val="single"/>
        </w:rPr>
      </w:pPr>
    </w:p>
    <w:p w:rsidR="00BF538D" w:rsidRPr="00282C3A" w:rsidRDefault="00BF538D" w:rsidP="00085E21">
      <w:pPr>
        <w:rPr>
          <w:rFonts w:ascii="Verdana" w:hAnsi="Verdana"/>
          <w:sz w:val="18"/>
          <w:szCs w:val="18"/>
          <w:u w:val="single"/>
        </w:rPr>
      </w:pPr>
    </w:p>
    <w:p w:rsidR="00A20D69" w:rsidRPr="00282C3A" w:rsidRDefault="00A20D69" w:rsidP="00A20D69">
      <w:pPr>
        <w:rPr>
          <w:rFonts w:ascii="Verdana" w:hAnsi="Verdana"/>
          <w:sz w:val="18"/>
          <w:szCs w:val="18"/>
          <w:u w:val="single"/>
        </w:rPr>
      </w:pPr>
    </w:p>
    <w:p w:rsidR="00282C3A" w:rsidRDefault="00282C3A" w:rsidP="00A20D69">
      <w:pPr>
        <w:spacing w:after="0" w:line="240" w:lineRule="auto"/>
        <w:rPr>
          <w:rFonts w:ascii="Verdana" w:hAnsi="Verdana"/>
          <w:sz w:val="18"/>
          <w:szCs w:val="18"/>
          <w:u w:val="single"/>
        </w:rPr>
      </w:pPr>
    </w:p>
    <w:p w:rsidR="00A20D69" w:rsidRPr="00282C3A" w:rsidRDefault="00A20D69" w:rsidP="00A20D69">
      <w:pPr>
        <w:spacing w:after="0" w:line="240" w:lineRule="auto"/>
        <w:rPr>
          <w:rFonts w:ascii="Verdana" w:hAnsi="Verdana"/>
          <w:sz w:val="18"/>
          <w:szCs w:val="18"/>
        </w:rPr>
      </w:pPr>
      <w:r w:rsidRPr="00282C3A">
        <w:rPr>
          <w:rFonts w:ascii="Verdana" w:hAnsi="Verdana"/>
          <w:sz w:val="18"/>
          <w:szCs w:val="18"/>
          <w:u w:val="single"/>
        </w:rPr>
        <w:t>MÉTODO e FORMA DE ELABORAÇÃO DO CÁLCULO</w:t>
      </w:r>
      <w:r w:rsidRPr="00282C3A">
        <w:rPr>
          <w:rFonts w:ascii="Verdana" w:hAnsi="Verdana"/>
          <w:sz w:val="18"/>
          <w:szCs w:val="18"/>
        </w:rPr>
        <w:t xml:space="preserve"> </w:t>
      </w:r>
    </w:p>
    <w:p w:rsidR="00A20D69" w:rsidRPr="00282C3A" w:rsidRDefault="00A20D69" w:rsidP="00A20D69">
      <w:pPr>
        <w:spacing w:after="0" w:line="240" w:lineRule="auto"/>
        <w:rPr>
          <w:rFonts w:ascii="Verdana" w:hAnsi="Verdana"/>
          <w:sz w:val="18"/>
          <w:szCs w:val="18"/>
        </w:rPr>
      </w:pPr>
      <w:proofErr w:type="gramStart"/>
      <w:r w:rsidRPr="00282C3A">
        <w:rPr>
          <w:rFonts w:ascii="Verdana" w:hAnsi="Verdana"/>
          <w:sz w:val="18"/>
          <w:szCs w:val="18"/>
        </w:rPr>
        <w:t>i</w:t>
      </w:r>
      <w:proofErr w:type="gramEnd"/>
      <w:r w:rsidRPr="00282C3A">
        <w:rPr>
          <w:rFonts w:ascii="Verdana" w:hAnsi="Verdana"/>
          <w:sz w:val="18"/>
          <w:szCs w:val="18"/>
        </w:rPr>
        <w:t xml:space="preserve"> (dados estatísticos) e </w:t>
      </w:r>
      <w:proofErr w:type="spellStart"/>
      <w:r w:rsidRPr="00282C3A">
        <w:rPr>
          <w:rFonts w:ascii="Verdana" w:hAnsi="Verdana"/>
          <w:sz w:val="18"/>
          <w:szCs w:val="18"/>
        </w:rPr>
        <w:t>ii</w:t>
      </w:r>
      <w:proofErr w:type="spellEnd"/>
      <w:r w:rsidRPr="00282C3A">
        <w:rPr>
          <w:rFonts w:ascii="Verdana" w:hAnsi="Verdana"/>
          <w:sz w:val="18"/>
          <w:szCs w:val="18"/>
        </w:rPr>
        <w:t xml:space="preserve"> (dados históricos), al. a) do n.º 5 do Art.º 67º Regulamento CE n.º 1305/2013</w:t>
      </w:r>
    </w:p>
    <w:p w:rsidR="005C0620" w:rsidRPr="00282C3A" w:rsidRDefault="005C0620" w:rsidP="00840C86">
      <w:pPr>
        <w:spacing w:after="240" w:line="240" w:lineRule="auto"/>
        <w:rPr>
          <w:rFonts w:ascii="Verdana" w:hAnsi="Verdana"/>
          <w:sz w:val="18"/>
          <w:szCs w:val="18"/>
        </w:rPr>
      </w:pPr>
    </w:p>
    <w:p w:rsidR="00DF0074" w:rsidRPr="00282C3A" w:rsidRDefault="00282C3A" w:rsidP="00DF0074">
      <w:pPr>
        <w:pStyle w:val="Default"/>
        <w:numPr>
          <w:ilvl w:val="0"/>
          <w:numId w:val="10"/>
        </w:numPr>
        <w:spacing w:after="240" w:line="360" w:lineRule="auto"/>
        <w:ind w:left="284" w:hanging="284"/>
        <w:jc w:val="both"/>
        <w:rPr>
          <w:rFonts w:ascii="Verdana" w:hAnsi="Verdana" w:cstheme="minorHAnsi"/>
          <w:sz w:val="18"/>
          <w:szCs w:val="18"/>
        </w:rPr>
      </w:pPr>
      <w:r w:rsidRPr="00282C3A">
        <w:rPr>
          <w:rFonts w:ascii="Verdana" w:hAnsi="Verdana" w:cstheme="minorHAnsi"/>
          <w:b/>
          <w:bCs/>
          <w:sz w:val="18"/>
          <w:szCs w:val="18"/>
        </w:rPr>
        <w:t>Apuramento do custo unitário com base nos dados históricos de operações do PDR2020</w:t>
      </w:r>
    </w:p>
    <w:p w:rsidR="00282C3A" w:rsidRPr="00282C3A" w:rsidRDefault="00DF0074" w:rsidP="00DF0074">
      <w:pPr>
        <w:pStyle w:val="Default"/>
        <w:jc w:val="both"/>
        <w:rPr>
          <w:rFonts w:ascii="Verdana" w:hAnsi="Verdana" w:cs="Calibri"/>
          <w:sz w:val="18"/>
          <w:szCs w:val="18"/>
        </w:rPr>
      </w:pPr>
      <w:r w:rsidRPr="00282C3A">
        <w:rPr>
          <w:rFonts w:ascii="Verdana" w:hAnsi="Verdana" w:cs="Calibri"/>
          <w:b/>
          <w:sz w:val="18"/>
          <w:szCs w:val="18"/>
        </w:rPr>
        <w:t>1.1</w:t>
      </w:r>
      <w:r w:rsidRPr="00282C3A">
        <w:rPr>
          <w:rFonts w:ascii="Verdana" w:hAnsi="Verdana" w:cs="Calibri"/>
          <w:sz w:val="18"/>
          <w:szCs w:val="18"/>
        </w:rPr>
        <w:t xml:space="preserve"> </w:t>
      </w:r>
      <w:r w:rsidR="00282C3A" w:rsidRPr="00282C3A">
        <w:rPr>
          <w:rFonts w:ascii="Verdana" w:hAnsi="Verdana" w:cs="Calibri"/>
          <w:sz w:val="18"/>
          <w:szCs w:val="18"/>
        </w:rPr>
        <w:t>É objetivo desta ficha a definição de custos unitários para a aquisição de depósitos de armazenagem de vinho, a ser utilizados em anúncio que os cofinancie como forma de atenuar o impacto negativo da pandemia de COVID 19 sobre o escoamento da produção vinícola.</w:t>
      </w:r>
    </w:p>
    <w:p w:rsidR="00282C3A" w:rsidRPr="00282C3A" w:rsidRDefault="00282C3A"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O PDR2020 prevê que em determinadas tipologias de investimento sejam utilizados custos simplificados, na forma de tabelas normalizadas de custos unitários, onde se podem incluir os investimentos na aquisição de depósitos para armazenagem de vinho, em aço inox 304 e/ou 316.</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No regime atual, e nas duas Operações do PDR2020 associadas a áreas geográficas não abrangidas por uma Estratégia de Desenvolvimento Local (EDL) apoiada no âmbito da ação 10.2, “Implementação das Estratégias de Desenvolvimento Local” da Medida 10, “LEADER”, do PDR2020, onde são elegíveis investimentos para a aquisição de depósitos de armazenagem de vinho, os valores constantes das normas de análise são:</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sz w:val="18"/>
          <w:szCs w:val="18"/>
        </w:rPr>
      </w:pPr>
      <w:r w:rsidRPr="00282C3A">
        <w:rPr>
          <w:rFonts w:ascii="Verdana" w:hAnsi="Verdana" w:cs="Calibri"/>
          <w:sz w:val="18"/>
          <w:szCs w:val="18"/>
        </w:rPr>
        <w:t xml:space="preserve">a) Operação 3.3.1 «Investimento na transformação e comercialização de produtos agrícolas» - Norma de análise </w:t>
      </w:r>
      <w:r w:rsidRPr="00282C3A">
        <w:rPr>
          <w:rFonts w:ascii="Verdana" w:hAnsi="Verdana"/>
          <w:sz w:val="18"/>
          <w:szCs w:val="18"/>
        </w:rPr>
        <w:t>N1/A2/3.3.1/2015, versão de 10.05.2018:</w:t>
      </w: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 “Reservatório cilíndrico-vertical, com capacid</w:t>
      </w:r>
      <w:r w:rsidR="00282C3A" w:rsidRPr="00282C3A">
        <w:rPr>
          <w:rFonts w:ascii="Verdana" w:hAnsi="Verdana" w:cs="Calibri"/>
          <w:sz w:val="18"/>
          <w:szCs w:val="18"/>
        </w:rPr>
        <w:t>ade de 5.000 litros”: 3 800,00€ (</w:t>
      </w:r>
      <w:r w:rsidRPr="00282C3A">
        <w:rPr>
          <w:rFonts w:ascii="Verdana" w:hAnsi="Verdana" w:cs="Calibri"/>
          <w:sz w:val="18"/>
          <w:szCs w:val="18"/>
        </w:rPr>
        <w:t>0,73€/l</w:t>
      </w:r>
      <w:r w:rsidR="00282C3A" w:rsidRPr="00282C3A">
        <w:rPr>
          <w:rFonts w:ascii="Verdana" w:hAnsi="Verdana" w:cs="Calibri"/>
          <w:sz w:val="18"/>
          <w:szCs w:val="18"/>
        </w:rPr>
        <w:t>)</w:t>
      </w:r>
      <w:r w:rsidRPr="00282C3A">
        <w:rPr>
          <w:rFonts w:ascii="Verdana" w:hAnsi="Verdana" w:cs="Calibri"/>
          <w:sz w:val="18"/>
          <w:szCs w:val="18"/>
        </w:rPr>
        <w:t>;</w:t>
      </w:r>
    </w:p>
    <w:p w:rsidR="00DF0074" w:rsidRPr="00282C3A" w:rsidRDefault="00DF0074" w:rsidP="00DF0074">
      <w:pPr>
        <w:pStyle w:val="Default"/>
        <w:jc w:val="both"/>
        <w:rPr>
          <w:rFonts w:ascii="Verdana" w:hAnsi="Verdana"/>
          <w:sz w:val="18"/>
          <w:szCs w:val="18"/>
        </w:rPr>
      </w:pPr>
      <w:r w:rsidRPr="00282C3A">
        <w:rPr>
          <w:rFonts w:ascii="Verdana" w:hAnsi="Verdana" w:cs="Calibri"/>
          <w:sz w:val="18"/>
          <w:szCs w:val="18"/>
        </w:rPr>
        <w:t>. “Reservatório cilíndrico-vertical, com capacidade</w:t>
      </w:r>
      <w:r w:rsidR="00282C3A" w:rsidRPr="00282C3A">
        <w:rPr>
          <w:rFonts w:ascii="Verdana" w:hAnsi="Verdana" w:cs="Calibri"/>
          <w:sz w:val="18"/>
          <w:szCs w:val="18"/>
        </w:rPr>
        <w:t xml:space="preserve"> de 500.000 litros”: 68 300,00€ (</w:t>
      </w:r>
      <w:r w:rsidRPr="00282C3A">
        <w:rPr>
          <w:rFonts w:ascii="Verdana" w:hAnsi="Verdana" w:cs="Calibri"/>
          <w:sz w:val="18"/>
          <w:szCs w:val="18"/>
        </w:rPr>
        <w:t>0,14/l</w:t>
      </w:r>
      <w:r w:rsidR="00282C3A" w:rsidRPr="00282C3A">
        <w:rPr>
          <w:rFonts w:ascii="Verdana" w:hAnsi="Verdana" w:cs="Calibri"/>
          <w:sz w:val="18"/>
          <w:szCs w:val="18"/>
        </w:rPr>
        <w:t>)</w:t>
      </w:r>
      <w:r w:rsidRPr="00282C3A">
        <w:rPr>
          <w:rFonts w:ascii="Verdana" w:hAnsi="Verdana" w:cs="Calibri"/>
          <w:sz w:val="18"/>
          <w:szCs w:val="18"/>
        </w:rPr>
        <w:t>.</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sz w:val="18"/>
          <w:szCs w:val="18"/>
        </w:rPr>
      </w:pPr>
      <w:r w:rsidRPr="00282C3A">
        <w:rPr>
          <w:rFonts w:ascii="Verdana" w:hAnsi="Verdana" w:cs="Calibri"/>
          <w:sz w:val="18"/>
          <w:szCs w:val="18"/>
        </w:rPr>
        <w:t xml:space="preserve">b) Operação 3.3.2 «Pequeno investimento na transformação e comercialização de produtos agrícolas» - Norma de análise </w:t>
      </w:r>
      <w:r w:rsidRPr="00282C3A">
        <w:rPr>
          <w:rFonts w:ascii="Verdana" w:hAnsi="Verdana"/>
          <w:sz w:val="18"/>
          <w:szCs w:val="18"/>
        </w:rPr>
        <w:t>N1/A2/3.3.2/2015, de 06.08.2015:</w:t>
      </w:r>
    </w:p>
    <w:p w:rsidR="00DF0074" w:rsidRPr="00282C3A" w:rsidRDefault="00DF0074" w:rsidP="00DF0074">
      <w:pPr>
        <w:pStyle w:val="Default"/>
        <w:jc w:val="both"/>
        <w:rPr>
          <w:rFonts w:ascii="Verdana" w:hAnsi="Verdana"/>
          <w:sz w:val="18"/>
          <w:szCs w:val="18"/>
        </w:rPr>
      </w:pPr>
      <w:r w:rsidRPr="00282C3A">
        <w:rPr>
          <w:rFonts w:ascii="Verdana" w:hAnsi="Verdana"/>
          <w:sz w:val="18"/>
          <w:szCs w:val="18"/>
        </w:rPr>
        <w:t>. “Reservatório cilíndrico-vertical - 5.000 a 15.000l”</w:t>
      </w:r>
      <w:r w:rsidR="00282C3A" w:rsidRPr="00282C3A">
        <w:rPr>
          <w:rFonts w:ascii="Verdana" w:hAnsi="Verdana"/>
          <w:sz w:val="18"/>
          <w:szCs w:val="18"/>
        </w:rPr>
        <w:t xml:space="preserve"> – limite inferior: 3 800,00€ (</w:t>
      </w:r>
      <w:r w:rsidRPr="00282C3A">
        <w:rPr>
          <w:rFonts w:ascii="Verdana" w:hAnsi="Verdana"/>
          <w:sz w:val="18"/>
          <w:szCs w:val="18"/>
        </w:rPr>
        <w:t>0,76€/</w:t>
      </w:r>
      <w:proofErr w:type="gramStart"/>
      <w:r w:rsidRPr="00282C3A">
        <w:rPr>
          <w:rFonts w:ascii="Verdana" w:hAnsi="Verdana"/>
          <w:sz w:val="18"/>
          <w:szCs w:val="18"/>
        </w:rPr>
        <w:t>l</w:t>
      </w:r>
      <w:r w:rsidR="00282C3A" w:rsidRPr="00282C3A">
        <w:rPr>
          <w:rFonts w:ascii="Verdana" w:hAnsi="Verdana"/>
          <w:sz w:val="18"/>
          <w:szCs w:val="18"/>
        </w:rPr>
        <w:t>)</w:t>
      </w:r>
      <w:proofErr w:type="gramEnd"/>
      <w:r w:rsidR="00282C3A" w:rsidRPr="00282C3A">
        <w:rPr>
          <w:rFonts w:ascii="Verdana" w:hAnsi="Verdana"/>
          <w:sz w:val="18"/>
          <w:szCs w:val="18"/>
        </w:rPr>
        <w:t>/limite superior: 5 450,00€ (</w:t>
      </w:r>
      <w:r w:rsidRPr="00282C3A">
        <w:rPr>
          <w:rFonts w:ascii="Verdana" w:hAnsi="Verdana"/>
          <w:sz w:val="18"/>
          <w:szCs w:val="18"/>
        </w:rPr>
        <w:t>0,36€/l</w:t>
      </w:r>
      <w:r w:rsidR="00282C3A" w:rsidRPr="00282C3A">
        <w:rPr>
          <w:rFonts w:ascii="Verdana" w:hAnsi="Verdana"/>
          <w:sz w:val="18"/>
          <w:szCs w:val="18"/>
        </w:rPr>
        <w:t>)</w:t>
      </w:r>
      <w:r w:rsidRPr="00282C3A">
        <w:rPr>
          <w:rFonts w:ascii="Verdana" w:hAnsi="Verdana"/>
          <w:sz w:val="18"/>
          <w:szCs w:val="18"/>
        </w:rPr>
        <w:t>;</w:t>
      </w:r>
    </w:p>
    <w:p w:rsidR="00DF0074" w:rsidRPr="00282C3A" w:rsidRDefault="00DF0074" w:rsidP="00DF0074">
      <w:pPr>
        <w:pStyle w:val="Default"/>
        <w:jc w:val="both"/>
        <w:rPr>
          <w:rFonts w:ascii="Verdana" w:hAnsi="Verdana"/>
          <w:sz w:val="18"/>
          <w:szCs w:val="18"/>
        </w:rPr>
      </w:pPr>
      <w:r w:rsidRPr="00282C3A">
        <w:rPr>
          <w:rFonts w:ascii="Verdana" w:hAnsi="Verdana"/>
          <w:sz w:val="18"/>
          <w:szCs w:val="18"/>
        </w:rPr>
        <w:t>. “Reservatório cilíndrico-vertical - 25.000 a 50.000</w:t>
      </w:r>
      <w:r w:rsidR="00282C3A" w:rsidRPr="00282C3A">
        <w:rPr>
          <w:rFonts w:ascii="Verdana" w:hAnsi="Verdana"/>
          <w:sz w:val="18"/>
          <w:szCs w:val="18"/>
        </w:rPr>
        <w:t>l” - limite inferior: 7 800,00€ (</w:t>
      </w:r>
      <w:r w:rsidRPr="00282C3A">
        <w:rPr>
          <w:rFonts w:ascii="Verdana" w:hAnsi="Verdana"/>
          <w:sz w:val="18"/>
          <w:szCs w:val="18"/>
        </w:rPr>
        <w:t>0,31€/</w:t>
      </w:r>
      <w:proofErr w:type="gramStart"/>
      <w:r w:rsidRPr="00282C3A">
        <w:rPr>
          <w:rFonts w:ascii="Verdana" w:hAnsi="Verdana"/>
          <w:sz w:val="18"/>
          <w:szCs w:val="18"/>
        </w:rPr>
        <w:t>l</w:t>
      </w:r>
      <w:r w:rsidR="00282C3A" w:rsidRPr="00282C3A">
        <w:rPr>
          <w:rFonts w:ascii="Verdana" w:hAnsi="Verdana"/>
          <w:sz w:val="18"/>
          <w:szCs w:val="18"/>
        </w:rPr>
        <w:t>)</w:t>
      </w:r>
      <w:proofErr w:type="gramEnd"/>
      <w:r w:rsidR="00282C3A" w:rsidRPr="00282C3A">
        <w:rPr>
          <w:rFonts w:ascii="Verdana" w:hAnsi="Verdana"/>
          <w:sz w:val="18"/>
          <w:szCs w:val="18"/>
        </w:rPr>
        <w:t>/limite superior: 18 000,00€ (</w:t>
      </w:r>
      <w:r w:rsidRPr="00282C3A">
        <w:rPr>
          <w:rFonts w:ascii="Verdana" w:hAnsi="Verdana"/>
          <w:sz w:val="18"/>
          <w:szCs w:val="18"/>
        </w:rPr>
        <w:t>0,36€/l</w:t>
      </w:r>
      <w:r w:rsidR="00282C3A" w:rsidRPr="00282C3A">
        <w:rPr>
          <w:rFonts w:ascii="Verdana" w:hAnsi="Verdana"/>
          <w:sz w:val="18"/>
          <w:szCs w:val="18"/>
        </w:rPr>
        <w:t>)</w:t>
      </w:r>
      <w:r w:rsidRPr="00282C3A">
        <w:rPr>
          <w:rFonts w:ascii="Verdana" w:hAnsi="Verdana"/>
          <w:sz w:val="18"/>
          <w:szCs w:val="18"/>
        </w:rPr>
        <w:t>;</w:t>
      </w:r>
    </w:p>
    <w:p w:rsidR="00DF0074" w:rsidRPr="00282C3A" w:rsidRDefault="00DF0074" w:rsidP="00DF0074">
      <w:pPr>
        <w:pStyle w:val="Default"/>
        <w:jc w:val="both"/>
        <w:rPr>
          <w:rFonts w:ascii="Verdana" w:hAnsi="Verdana"/>
          <w:sz w:val="18"/>
          <w:szCs w:val="18"/>
        </w:rPr>
      </w:pPr>
      <w:r w:rsidRPr="00282C3A">
        <w:rPr>
          <w:rFonts w:ascii="Verdana" w:hAnsi="Verdana"/>
          <w:sz w:val="18"/>
          <w:szCs w:val="18"/>
        </w:rPr>
        <w:t>. “Reservatório cilíndrico-vertical - 500.000l</w:t>
      </w:r>
      <w:r w:rsidR="00282C3A" w:rsidRPr="00282C3A">
        <w:rPr>
          <w:rFonts w:ascii="Verdana" w:hAnsi="Verdana"/>
          <w:sz w:val="18"/>
          <w:szCs w:val="18"/>
        </w:rPr>
        <w:t>” - limite inferior: 64 500,00€ (</w:t>
      </w:r>
      <w:r w:rsidRPr="00282C3A">
        <w:rPr>
          <w:rFonts w:ascii="Verdana" w:hAnsi="Verdana"/>
          <w:sz w:val="18"/>
          <w:szCs w:val="18"/>
        </w:rPr>
        <w:t>0,13€/</w:t>
      </w:r>
      <w:proofErr w:type="gramStart"/>
      <w:r w:rsidRPr="00282C3A">
        <w:rPr>
          <w:rFonts w:ascii="Verdana" w:hAnsi="Verdana"/>
          <w:sz w:val="18"/>
          <w:szCs w:val="18"/>
        </w:rPr>
        <w:t>l</w:t>
      </w:r>
      <w:r w:rsidR="00282C3A" w:rsidRPr="00282C3A">
        <w:rPr>
          <w:rFonts w:ascii="Verdana" w:hAnsi="Verdana"/>
          <w:sz w:val="18"/>
          <w:szCs w:val="18"/>
        </w:rPr>
        <w:t>)</w:t>
      </w:r>
      <w:proofErr w:type="gramEnd"/>
      <w:r w:rsidR="00282C3A" w:rsidRPr="00282C3A">
        <w:rPr>
          <w:rFonts w:ascii="Verdana" w:hAnsi="Verdana"/>
          <w:sz w:val="18"/>
          <w:szCs w:val="18"/>
        </w:rPr>
        <w:t>/limite superior: 68 300,00€ (</w:t>
      </w:r>
      <w:r w:rsidRPr="00282C3A">
        <w:rPr>
          <w:rFonts w:ascii="Verdana" w:hAnsi="Verdana"/>
          <w:sz w:val="18"/>
          <w:szCs w:val="18"/>
        </w:rPr>
        <w:t>0,14€/l</w:t>
      </w:r>
      <w:r w:rsidR="00282C3A" w:rsidRPr="00282C3A">
        <w:rPr>
          <w:rFonts w:ascii="Verdana" w:hAnsi="Verdana"/>
          <w:sz w:val="18"/>
          <w:szCs w:val="18"/>
        </w:rPr>
        <w:t>)</w:t>
      </w:r>
      <w:r w:rsidRPr="00282C3A">
        <w:rPr>
          <w:rFonts w:ascii="Verdana" w:hAnsi="Verdana"/>
          <w:sz w:val="18"/>
          <w:szCs w:val="18"/>
        </w:rPr>
        <w:t>.</w:t>
      </w:r>
    </w:p>
    <w:p w:rsidR="00DF0074" w:rsidRPr="00282C3A" w:rsidRDefault="00DF0074" w:rsidP="00DF0074">
      <w:pPr>
        <w:pStyle w:val="Default"/>
        <w:jc w:val="both"/>
        <w:rPr>
          <w:rFonts w:ascii="Verdana" w:hAnsi="Verdana"/>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Em ambas as normas de análise é recomendado que, caso seja apresentado na candidatura equipamento com capacidade não referida na norma de análise, seja aplicado um princípio de proporcionalidade (menos que proporcional), dado que o custo unitário por unidade de capacidade diminui com a escala.</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Assim, e no que respeita aos valores de referência constantes das normas de análise, a informação é manifestamente insuficiente para a construção do</w:t>
      </w:r>
      <w:r w:rsidR="00282C3A" w:rsidRPr="00282C3A">
        <w:rPr>
          <w:rFonts w:ascii="Verdana" w:hAnsi="Verdana" w:cs="Calibri"/>
          <w:sz w:val="18"/>
          <w:szCs w:val="18"/>
        </w:rPr>
        <w:t>s</w:t>
      </w:r>
      <w:r w:rsidRPr="00282C3A">
        <w:rPr>
          <w:rFonts w:ascii="Verdana" w:hAnsi="Verdana" w:cs="Calibri"/>
          <w:sz w:val="18"/>
          <w:szCs w:val="18"/>
        </w:rPr>
        <w:t xml:space="preserve"> custo</w:t>
      </w:r>
      <w:r w:rsidR="00282C3A" w:rsidRPr="00282C3A">
        <w:rPr>
          <w:rFonts w:ascii="Verdana" w:hAnsi="Verdana" w:cs="Calibri"/>
          <w:sz w:val="18"/>
          <w:szCs w:val="18"/>
        </w:rPr>
        <w:t>s</w:t>
      </w:r>
      <w:r w:rsidRPr="00282C3A">
        <w:rPr>
          <w:rFonts w:ascii="Verdana" w:hAnsi="Verdana" w:cs="Calibri"/>
          <w:sz w:val="18"/>
          <w:szCs w:val="18"/>
        </w:rPr>
        <w:t xml:space="preserve"> unitário</w:t>
      </w:r>
      <w:r w:rsidR="00282C3A" w:rsidRPr="00282C3A">
        <w:rPr>
          <w:rFonts w:ascii="Verdana" w:hAnsi="Verdana" w:cs="Calibri"/>
          <w:sz w:val="18"/>
          <w:szCs w:val="18"/>
        </w:rPr>
        <w:t>s</w:t>
      </w:r>
      <w:r w:rsidRPr="00282C3A">
        <w:rPr>
          <w:rFonts w:ascii="Verdana" w:hAnsi="Verdana" w:cs="Calibri"/>
          <w:sz w:val="18"/>
          <w:szCs w:val="18"/>
        </w:rPr>
        <w:t>.</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b/>
          <w:sz w:val="18"/>
          <w:szCs w:val="18"/>
        </w:rPr>
        <w:t>1.2</w:t>
      </w:r>
      <w:r w:rsidRPr="00282C3A">
        <w:rPr>
          <w:rFonts w:ascii="Verdana" w:hAnsi="Verdana" w:cs="Calibri"/>
          <w:sz w:val="18"/>
          <w:szCs w:val="18"/>
        </w:rPr>
        <w:t xml:space="preserve"> </w:t>
      </w:r>
      <w:r w:rsidR="00282C3A" w:rsidRPr="00282C3A">
        <w:rPr>
          <w:rFonts w:ascii="Verdana" w:hAnsi="Verdana" w:cs="Calibri"/>
          <w:sz w:val="18"/>
          <w:szCs w:val="18"/>
        </w:rPr>
        <w:t xml:space="preserve">Foram identificadas 36 </w:t>
      </w:r>
      <w:r w:rsidRPr="00282C3A">
        <w:rPr>
          <w:rFonts w:ascii="Verdana" w:hAnsi="Verdana" w:cs="Calibri"/>
          <w:sz w:val="18"/>
          <w:szCs w:val="18"/>
        </w:rPr>
        <w:t xml:space="preserve">operações que inscreveram nos seus investimentos, para efeitos de financiamento, depósitos de armazenagem de vinho em aço inox, e respetivo valor elegível apurado em sede de análise, com dados dos anos 2014 a 2019 (folha </w:t>
      </w:r>
      <w:proofErr w:type="spellStart"/>
      <w:r w:rsidR="00282C3A" w:rsidRPr="00282C3A">
        <w:rPr>
          <w:rFonts w:ascii="Verdana" w:hAnsi="Verdana" w:cs="Calibri"/>
          <w:i/>
          <w:sz w:val="18"/>
          <w:szCs w:val="18"/>
        </w:rPr>
        <w:t>e</w:t>
      </w:r>
      <w:r w:rsidRPr="00282C3A">
        <w:rPr>
          <w:rFonts w:ascii="Verdana" w:hAnsi="Verdana" w:cs="Calibri"/>
          <w:i/>
          <w:sz w:val="18"/>
          <w:szCs w:val="18"/>
        </w:rPr>
        <w:t>xcel</w:t>
      </w:r>
      <w:proofErr w:type="spellEnd"/>
      <w:r w:rsidRPr="00282C3A">
        <w:rPr>
          <w:rFonts w:ascii="Verdana" w:hAnsi="Verdana" w:cs="Calibri"/>
          <w:sz w:val="18"/>
          <w:szCs w:val="18"/>
        </w:rPr>
        <w:t xml:space="preserve"> i</w:t>
      </w:r>
      <w:r w:rsidR="00176C79">
        <w:rPr>
          <w:rFonts w:ascii="Verdana" w:hAnsi="Verdana" w:cs="Calibri"/>
          <w:sz w:val="18"/>
          <w:szCs w:val="18"/>
        </w:rPr>
        <w:t>ntitulada “OPER_AVinho_APUR_0207</w:t>
      </w:r>
      <w:r w:rsidRPr="00282C3A">
        <w:rPr>
          <w:rFonts w:ascii="Verdana" w:hAnsi="Verdana" w:cs="Calibri"/>
          <w:sz w:val="18"/>
          <w:szCs w:val="18"/>
        </w:rPr>
        <w:t>2021”, que se encontra em anexo).</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Entre as 36 operações contam-se 22 relativas à Operação 3.3.1 «Investimento na transformação e comercialização de produtos agrícolas» e 14 relativas à Operação 3.3.2 «Pequeno investimento na transformação e comercialização de produtos agrícolas».</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spacing w:after="0"/>
        <w:jc w:val="both"/>
        <w:rPr>
          <w:rFonts w:ascii="Verdana" w:hAnsi="Verdana"/>
          <w:sz w:val="18"/>
          <w:szCs w:val="18"/>
        </w:rPr>
      </w:pPr>
      <w:r w:rsidRPr="00282C3A">
        <w:rPr>
          <w:rFonts w:ascii="Verdana" w:hAnsi="Verdana"/>
          <w:sz w:val="18"/>
          <w:szCs w:val="18"/>
        </w:rPr>
        <w:t>Do ficheiro fazem parte 64 entradas por existirem operações com dados relativos a depósitos de armazenagem em aço inox com diversas capacidades.</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 xml:space="preserve">Efetuada uma análise da informação disponibilizada pelo universo das operações indicadas, que se encontram concluídas, contendo informação sobre os pagamentos efetuados e relativos </w:t>
      </w:r>
      <w:r w:rsidRPr="00282C3A">
        <w:rPr>
          <w:rFonts w:ascii="Verdana" w:hAnsi="Verdana" w:cs="Calibri"/>
          <w:sz w:val="18"/>
          <w:szCs w:val="18"/>
        </w:rPr>
        <w:lastRenderedPageBreak/>
        <w:t>à aquisição de depósitos de armazenagem de vinho, chegou-se à Tabela Normalizada de Custos Unitários que a seguir se apresenta:</w:t>
      </w:r>
    </w:p>
    <w:p w:rsidR="00DF0074" w:rsidRPr="00282C3A" w:rsidRDefault="00DF0074" w:rsidP="00DF0074">
      <w:pPr>
        <w:spacing w:after="240"/>
        <w:jc w:val="both"/>
        <w:rPr>
          <w:rFonts w:ascii="Verdana" w:hAnsi="Verdana"/>
          <w:sz w:val="18"/>
          <w:szCs w:val="18"/>
        </w:rPr>
      </w:pPr>
    </w:p>
    <w:tbl>
      <w:tblPr>
        <w:tblW w:w="4961" w:type="dxa"/>
        <w:tblInd w:w="274" w:type="dxa"/>
        <w:tblCellMar>
          <w:left w:w="70" w:type="dxa"/>
          <w:right w:w="70" w:type="dxa"/>
        </w:tblCellMar>
        <w:tblLook w:val="04A0" w:firstRow="1" w:lastRow="0" w:firstColumn="1" w:lastColumn="0" w:noHBand="0" w:noVBand="1"/>
      </w:tblPr>
      <w:tblGrid>
        <w:gridCol w:w="2516"/>
        <w:gridCol w:w="2445"/>
      </w:tblGrid>
      <w:tr w:rsidR="00DF0074" w:rsidRPr="00282C3A" w:rsidTr="00124CDA">
        <w:trPr>
          <w:trHeight w:val="164"/>
        </w:trPr>
        <w:tc>
          <w:tcPr>
            <w:tcW w:w="2516" w:type="dxa"/>
            <w:tcBorders>
              <w:top w:val="single" w:sz="8" w:space="0" w:color="auto"/>
              <w:left w:val="single" w:sz="8" w:space="0" w:color="auto"/>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c>
          <w:tcPr>
            <w:tcW w:w="2445" w:type="dxa"/>
            <w:tcBorders>
              <w:top w:val="single" w:sz="8" w:space="0" w:color="auto"/>
              <w:left w:val="nil"/>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r>
      <w:tr w:rsidR="00DF0074" w:rsidRPr="00282C3A" w:rsidTr="00124CDA">
        <w:trPr>
          <w:trHeight w:val="319"/>
        </w:trPr>
        <w:tc>
          <w:tcPr>
            <w:tcW w:w="2516" w:type="dxa"/>
            <w:tcBorders>
              <w:top w:val="nil"/>
              <w:left w:val="single" w:sz="8" w:space="0" w:color="auto"/>
              <w:bottom w:val="single" w:sz="8" w:space="0" w:color="auto"/>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Classe de Capacidade (l)</w:t>
            </w:r>
          </w:p>
        </w:tc>
        <w:tc>
          <w:tcPr>
            <w:tcW w:w="2445" w:type="dxa"/>
            <w:tcBorders>
              <w:top w:val="nil"/>
              <w:left w:val="nil"/>
              <w:bottom w:val="single" w:sz="8" w:space="0" w:color="auto"/>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Custo Unitário Elegível (€/l)</w:t>
            </w:r>
          </w:p>
        </w:tc>
      </w:tr>
      <w:tr w:rsidR="00DF0074" w:rsidRPr="00282C3A" w:rsidTr="00124CDA">
        <w:trPr>
          <w:trHeight w:val="144"/>
        </w:trPr>
        <w:tc>
          <w:tcPr>
            <w:tcW w:w="2516" w:type="dxa"/>
            <w:tcBorders>
              <w:top w:val="nil"/>
              <w:left w:val="single" w:sz="8" w:space="0" w:color="auto"/>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c>
          <w:tcPr>
            <w:tcW w:w="2445" w:type="dxa"/>
            <w:tcBorders>
              <w:top w:val="nil"/>
              <w:left w:val="nil"/>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r>
      <w:tr w:rsidR="00DF0074" w:rsidRPr="00282C3A" w:rsidTr="00124CDA">
        <w:trPr>
          <w:trHeight w:val="240"/>
        </w:trPr>
        <w:tc>
          <w:tcPr>
            <w:tcW w:w="2516" w:type="dxa"/>
            <w:tcBorders>
              <w:top w:val="nil"/>
              <w:left w:val="single" w:sz="8" w:space="0" w:color="auto"/>
              <w:bottom w:val="single" w:sz="8" w:space="0" w:color="auto"/>
              <w:right w:val="single" w:sz="8" w:space="0" w:color="auto"/>
            </w:tcBorders>
            <w:shd w:val="clear" w:color="auto" w:fill="auto"/>
            <w:vAlign w:val="center"/>
            <w:hideMark/>
          </w:tcPr>
          <w:p w:rsidR="00DF0074" w:rsidRPr="00282C3A" w:rsidRDefault="004C4D8D" w:rsidP="00124CDA">
            <w:pPr>
              <w:spacing w:after="0" w:line="240" w:lineRule="auto"/>
              <w:jc w:val="center"/>
              <w:rPr>
                <w:rFonts w:ascii="Verdana" w:eastAsia="Times New Roman" w:hAnsi="Verdana" w:cs="Calibri"/>
                <w:color w:val="000000"/>
                <w:sz w:val="18"/>
                <w:szCs w:val="18"/>
                <w:lang w:eastAsia="pt-PT"/>
              </w:rPr>
            </w:pPr>
            <w:proofErr w:type="gramStart"/>
            <w:r>
              <w:rPr>
                <w:rFonts w:ascii="Verdana" w:eastAsia="Times New Roman" w:hAnsi="Verdana" w:cs="Calibri"/>
                <w:color w:val="000000"/>
                <w:sz w:val="18"/>
                <w:szCs w:val="18"/>
                <w:lang w:eastAsia="pt-PT"/>
              </w:rPr>
              <w:t>até</w:t>
            </w:r>
            <w:proofErr w:type="gramEnd"/>
            <w:r>
              <w:rPr>
                <w:rFonts w:ascii="Verdana" w:eastAsia="Times New Roman" w:hAnsi="Verdana" w:cs="Calibri"/>
                <w:color w:val="000000"/>
                <w:sz w:val="18"/>
                <w:szCs w:val="18"/>
                <w:lang w:eastAsia="pt-PT"/>
              </w:rPr>
              <w:t xml:space="preserve"> 5.000 (inclusive)</w:t>
            </w:r>
          </w:p>
        </w:tc>
        <w:tc>
          <w:tcPr>
            <w:tcW w:w="2445" w:type="dxa"/>
            <w:tcBorders>
              <w:top w:val="nil"/>
              <w:left w:val="nil"/>
              <w:bottom w:val="single" w:sz="8" w:space="0" w:color="auto"/>
              <w:right w:val="single" w:sz="8" w:space="0" w:color="auto"/>
            </w:tcBorders>
            <w:shd w:val="clear" w:color="auto" w:fill="auto"/>
            <w:vAlign w:val="center"/>
            <w:hideMark/>
          </w:tcPr>
          <w:p w:rsidR="00DF0074" w:rsidRPr="00282C3A" w:rsidRDefault="004C4D8D" w:rsidP="00124CDA">
            <w:pPr>
              <w:spacing w:after="0" w:line="240" w:lineRule="auto"/>
              <w:jc w:val="center"/>
              <w:rPr>
                <w:rFonts w:ascii="Verdana" w:eastAsia="Times New Roman" w:hAnsi="Verdana" w:cs="Calibri"/>
                <w:color w:val="000000"/>
                <w:sz w:val="18"/>
                <w:szCs w:val="18"/>
                <w:lang w:eastAsia="pt-PT"/>
              </w:rPr>
            </w:pPr>
            <w:r>
              <w:rPr>
                <w:rFonts w:ascii="Verdana" w:eastAsia="Times New Roman" w:hAnsi="Verdana" w:cs="Calibri"/>
                <w:color w:val="000000"/>
                <w:sz w:val="18"/>
                <w:szCs w:val="18"/>
                <w:lang w:eastAsia="pt-PT"/>
              </w:rPr>
              <w:t>0,78</w:t>
            </w:r>
          </w:p>
        </w:tc>
      </w:tr>
      <w:tr w:rsidR="00DF0074" w:rsidRPr="00282C3A" w:rsidTr="00124CDA">
        <w:trPr>
          <w:trHeight w:val="240"/>
        </w:trPr>
        <w:tc>
          <w:tcPr>
            <w:tcW w:w="2516" w:type="dxa"/>
            <w:tcBorders>
              <w:top w:val="nil"/>
              <w:left w:val="single" w:sz="8" w:space="0" w:color="auto"/>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c>
          <w:tcPr>
            <w:tcW w:w="2445" w:type="dxa"/>
            <w:tcBorders>
              <w:top w:val="nil"/>
              <w:left w:val="nil"/>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r>
      <w:tr w:rsidR="00DF0074" w:rsidRPr="00282C3A" w:rsidTr="00124CDA">
        <w:trPr>
          <w:trHeight w:val="240"/>
        </w:trPr>
        <w:tc>
          <w:tcPr>
            <w:tcW w:w="2516" w:type="dxa"/>
            <w:tcBorders>
              <w:top w:val="nil"/>
              <w:left w:val="single" w:sz="8" w:space="0" w:color="auto"/>
              <w:bottom w:val="single" w:sz="8" w:space="0" w:color="auto"/>
              <w:right w:val="single" w:sz="8" w:space="0" w:color="auto"/>
            </w:tcBorders>
            <w:shd w:val="clear" w:color="auto" w:fill="auto"/>
            <w:vAlign w:val="center"/>
            <w:hideMark/>
          </w:tcPr>
          <w:p w:rsidR="00DF0074" w:rsidRPr="00282C3A" w:rsidRDefault="004C4D8D"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theme="minorHAnsi"/>
                <w:color w:val="000000"/>
                <w:sz w:val="18"/>
                <w:szCs w:val="18"/>
                <w:lang w:eastAsia="pt-PT"/>
              </w:rPr>
              <w:t>&gt;</w:t>
            </w:r>
            <w:r>
              <w:rPr>
                <w:rFonts w:ascii="Verdana" w:eastAsia="Times New Roman" w:hAnsi="Verdana" w:cs="Calibri"/>
                <w:color w:val="000000"/>
                <w:sz w:val="18"/>
                <w:szCs w:val="18"/>
                <w:lang w:eastAsia="pt-PT"/>
              </w:rPr>
              <w:t xml:space="preserve">5.000 </w:t>
            </w:r>
            <w:proofErr w:type="gramStart"/>
            <w:r>
              <w:rPr>
                <w:rFonts w:ascii="Verdana" w:eastAsia="Times New Roman" w:hAnsi="Verdana" w:cs="Calibri"/>
                <w:color w:val="000000"/>
                <w:sz w:val="18"/>
                <w:szCs w:val="18"/>
                <w:lang w:eastAsia="pt-PT"/>
              </w:rPr>
              <w:t>e</w:t>
            </w:r>
            <w:proofErr w:type="gramEnd"/>
            <w:r>
              <w:rPr>
                <w:rFonts w:ascii="Verdana" w:eastAsia="Times New Roman" w:hAnsi="Verdana" w:cs="Calibri"/>
                <w:color w:val="000000"/>
                <w:sz w:val="18"/>
                <w:szCs w:val="18"/>
                <w:lang w:eastAsia="pt-PT"/>
              </w:rPr>
              <w:t xml:space="preserve"> ≤ 10.000</w:t>
            </w:r>
          </w:p>
        </w:tc>
        <w:tc>
          <w:tcPr>
            <w:tcW w:w="2445" w:type="dxa"/>
            <w:tcBorders>
              <w:top w:val="nil"/>
              <w:left w:val="nil"/>
              <w:bottom w:val="single" w:sz="8" w:space="0" w:color="auto"/>
              <w:right w:val="single" w:sz="8" w:space="0" w:color="auto"/>
            </w:tcBorders>
            <w:shd w:val="clear" w:color="auto" w:fill="auto"/>
            <w:vAlign w:val="center"/>
            <w:hideMark/>
          </w:tcPr>
          <w:p w:rsidR="00DF0074" w:rsidRPr="00282C3A" w:rsidRDefault="004C4D8D" w:rsidP="00124CDA">
            <w:pPr>
              <w:spacing w:after="0" w:line="240" w:lineRule="auto"/>
              <w:jc w:val="center"/>
              <w:rPr>
                <w:rFonts w:ascii="Verdana" w:eastAsia="Times New Roman" w:hAnsi="Verdana" w:cs="Calibri"/>
                <w:color w:val="000000"/>
                <w:sz w:val="18"/>
                <w:szCs w:val="18"/>
                <w:lang w:eastAsia="pt-PT"/>
              </w:rPr>
            </w:pPr>
            <w:r>
              <w:rPr>
                <w:rFonts w:ascii="Verdana" w:eastAsia="Times New Roman" w:hAnsi="Verdana" w:cs="Calibri"/>
                <w:color w:val="000000"/>
                <w:sz w:val="18"/>
                <w:szCs w:val="18"/>
                <w:lang w:eastAsia="pt-PT"/>
              </w:rPr>
              <w:t>0,44</w:t>
            </w:r>
          </w:p>
        </w:tc>
      </w:tr>
      <w:tr w:rsidR="00DF0074" w:rsidRPr="00282C3A" w:rsidTr="00124CDA">
        <w:trPr>
          <w:trHeight w:val="240"/>
        </w:trPr>
        <w:tc>
          <w:tcPr>
            <w:tcW w:w="2516" w:type="dxa"/>
            <w:tcBorders>
              <w:top w:val="nil"/>
              <w:left w:val="single" w:sz="8" w:space="0" w:color="auto"/>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c>
          <w:tcPr>
            <w:tcW w:w="2445" w:type="dxa"/>
            <w:tcBorders>
              <w:top w:val="nil"/>
              <w:left w:val="nil"/>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r>
      <w:tr w:rsidR="00DF0074" w:rsidRPr="00282C3A" w:rsidTr="00124CDA">
        <w:trPr>
          <w:trHeight w:val="240"/>
        </w:trPr>
        <w:tc>
          <w:tcPr>
            <w:tcW w:w="2516" w:type="dxa"/>
            <w:tcBorders>
              <w:top w:val="nil"/>
              <w:left w:val="single" w:sz="8" w:space="0" w:color="auto"/>
              <w:bottom w:val="single" w:sz="8" w:space="0" w:color="auto"/>
              <w:right w:val="single" w:sz="8" w:space="0" w:color="auto"/>
            </w:tcBorders>
            <w:shd w:val="clear" w:color="auto" w:fill="auto"/>
            <w:vAlign w:val="center"/>
            <w:hideMark/>
          </w:tcPr>
          <w:p w:rsidR="00DF0074" w:rsidRPr="00282C3A" w:rsidRDefault="004C4D8D"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theme="minorHAnsi"/>
                <w:color w:val="000000"/>
                <w:sz w:val="18"/>
                <w:szCs w:val="18"/>
                <w:lang w:eastAsia="pt-PT"/>
              </w:rPr>
              <w:t>&gt;</w:t>
            </w:r>
            <w:r>
              <w:rPr>
                <w:rFonts w:ascii="Verdana" w:eastAsia="Times New Roman" w:hAnsi="Verdana" w:cstheme="minorHAnsi"/>
                <w:color w:val="000000"/>
                <w:sz w:val="18"/>
                <w:szCs w:val="18"/>
                <w:lang w:eastAsia="pt-PT"/>
              </w:rPr>
              <w:t xml:space="preserve"> </w:t>
            </w:r>
            <w:r>
              <w:rPr>
                <w:rFonts w:ascii="Verdana" w:eastAsia="Times New Roman" w:hAnsi="Verdana" w:cs="Calibri"/>
                <w:color w:val="000000"/>
                <w:sz w:val="18"/>
                <w:szCs w:val="18"/>
                <w:lang w:eastAsia="pt-PT"/>
              </w:rPr>
              <w:t xml:space="preserve">10.000 </w:t>
            </w:r>
            <w:proofErr w:type="gramStart"/>
            <w:r>
              <w:rPr>
                <w:rFonts w:ascii="Verdana" w:eastAsia="Times New Roman" w:hAnsi="Verdana" w:cs="Calibri"/>
                <w:color w:val="000000"/>
                <w:sz w:val="18"/>
                <w:szCs w:val="18"/>
                <w:lang w:eastAsia="pt-PT"/>
              </w:rPr>
              <w:t>e</w:t>
            </w:r>
            <w:proofErr w:type="gramEnd"/>
            <w:r>
              <w:rPr>
                <w:rFonts w:ascii="Verdana" w:eastAsia="Times New Roman" w:hAnsi="Verdana" w:cs="Calibri"/>
                <w:color w:val="000000"/>
                <w:sz w:val="18"/>
                <w:szCs w:val="18"/>
                <w:lang w:eastAsia="pt-PT"/>
              </w:rPr>
              <w:t xml:space="preserve"> ≤ 20.000</w:t>
            </w:r>
          </w:p>
        </w:tc>
        <w:tc>
          <w:tcPr>
            <w:tcW w:w="2445" w:type="dxa"/>
            <w:tcBorders>
              <w:top w:val="nil"/>
              <w:left w:val="nil"/>
              <w:bottom w:val="single" w:sz="8" w:space="0" w:color="auto"/>
              <w:right w:val="single" w:sz="8" w:space="0" w:color="auto"/>
            </w:tcBorders>
            <w:shd w:val="clear" w:color="auto" w:fill="auto"/>
            <w:vAlign w:val="center"/>
            <w:hideMark/>
          </w:tcPr>
          <w:p w:rsidR="00DF0074" w:rsidRPr="00282C3A" w:rsidRDefault="004E3291" w:rsidP="00124CDA">
            <w:pPr>
              <w:spacing w:after="0" w:line="240" w:lineRule="auto"/>
              <w:jc w:val="center"/>
              <w:rPr>
                <w:rFonts w:ascii="Verdana" w:eastAsia="Times New Roman" w:hAnsi="Verdana" w:cs="Calibri"/>
                <w:color w:val="000000"/>
                <w:sz w:val="18"/>
                <w:szCs w:val="18"/>
                <w:lang w:eastAsia="pt-PT"/>
              </w:rPr>
            </w:pPr>
            <w:r>
              <w:rPr>
                <w:rFonts w:ascii="Verdana" w:eastAsia="Times New Roman" w:hAnsi="Verdana" w:cs="Calibri"/>
                <w:color w:val="000000"/>
                <w:sz w:val="18"/>
                <w:szCs w:val="18"/>
                <w:lang w:eastAsia="pt-PT"/>
              </w:rPr>
              <w:t>0</w:t>
            </w:r>
            <w:r w:rsidR="004C4D8D">
              <w:rPr>
                <w:rFonts w:ascii="Verdana" w:eastAsia="Times New Roman" w:hAnsi="Verdana" w:cs="Calibri"/>
                <w:color w:val="000000"/>
                <w:sz w:val="18"/>
                <w:szCs w:val="18"/>
                <w:lang w:eastAsia="pt-PT"/>
              </w:rPr>
              <w:t>,27</w:t>
            </w:r>
          </w:p>
        </w:tc>
      </w:tr>
      <w:tr w:rsidR="00DF0074" w:rsidRPr="00282C3A" w:rsidTr="00124CDA">
        <w:trPr>
          <w:trHeight w:val="240"/>
        </w:trPr>
        <w:tc>
          <w:tcPr>
            <w:tcW w:w="2516" w:type="dxa"/>
            <w:tcBorders>
              <w:top w:val="nil"/>
              <w:left w:val="single" w:sz="8" w:space="0" w:color="auto"/>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c>
          <w:tcPr>
            <w:tcW w:w="2445" w:type="dxa"/>
            <w:tcBorders>
              <w:top w:val="nil"/>
              <w:left w:val="nil"/>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r>
      <w:tr w:rsidR="00DF0074" w:rsidRPr="00282C3A" w:rsidTr="00124CDA">
        <w:trPr>
          <w:trHeight w:val="240"/>
        </w:trPr>
        <w:tc>
          <w:tcPr>
            <w:tcW w:w="2516" w:type="dxa"/>
            <w:tcBorders>
              <w:top w:val="nil"/>
              <w:left w:val="single" w:sz="8" w:space="0" w:color="auto"/>
              <w:bottom w:val="single" w:sz="8" w:space="0" w:color="auto"/>
              <w:right w:val="single" w:sz="8" w:space="0" w:color="auto"/>
            </w:tcBorders>
            <w:shd w:val="clear" w:color="auto" w:fill="auto"/>
            <w:vAlign w:val="center"/>
            <w:hideMark/>
          </w:tcPr>
          <w:p w:rsidR="00DF0074" w:rsidRPr="004C4D8D" w:rsidRDefault="004C4D8D" w:rsidP="004C4D8D">
            <w:pPr>
              <w:spacing w:after="0" w:line="240" w:lineRule="auto"/>
              <w:rPr>
                <w:rFonts w:ascii="Verdana" w:eastAsia="Times New Roman" w:hAnsi="Verdana" w:cs="Calibri"/>
                <w:color w:val="000000"/>
                <w:sz w:val="18"/>
                <w:szCs w:val="18"/>
                <w:lang w:eastAsia="pt-PT"/>
              </w:rPr>
            </w:pPr>
            <w:r>
              <w:rPr>
                <w:rFonts w:ascii="Verdana" w:eastAsia="Times New Roman" w:hAnsi="Verdana" w:cstheme="minorHAnsi"/>
                <w:color w:val="000000"/>
                <w:sz w:val="18"/>
                <w:szCs w:val="18"/>
                <w:lang w:eastAsia="pt-PT"/>
              </w:rPr>
              <w:t xml:space="preserve">    </w:t>
            </w:r>
            <w:r w:rsidRPr="00282C3A">
              <w:rPr>
                <w:rFonts w:ascii="Verdana" w:eastAsia="Times New Roman" w:hAnsi="Verdana" w:cstheme="minorHAnsi"/>
                <w:color w:val="000000"/>
                <w:sz w:val="18"/>
                <w:szCs w:val="18"/>
                <w:lang w:eastAsia="pt-PT"/>
              </w:rPr>
              <w:t>&gt;</w:t>
            </w:r>
            <w:r>
              <w:rPr>
                <w:rFonts w:ascii="Verdana" w:eastAsia="Times New Roman" w:hAnsi="Verdana" w:cstheme="minorHAnsi"/>
                <w:color w:val="000000"/>
                <w:sz w:val="18"/>
                <w:szCs w:val="18"/>
                <w:lang w:eastAsia="pt-PT"/>
              </w:rPr>
              <w:t xml:space="preserve"> </w:t>
            </w:r>
            <w:r>
              <w:rPr>
                <w:rFonts w:ascii="Verdana" w:eastAsia="Times New Roman" w:hAnsi="Verdana" w:cs="Calibri"/>
                <w:color w:val="000000"/>
                <w:sz w:val="18"/>
                <w:szCs w:val="18"/>
                <w:lang w:eastAsia="pt-PT"/>
              </w:rPr>
              <w:t xml:space="preserve">20.000 </w:t>
            </w:r>
            <w:proofErr w:type="gramStart"/>
            <w:r>
              <w:rPr>
                <w:rFonts w:ascii="Verdana" w:eastAsia="Times New Roman" w:hAnsi="Verdana" w:cs="Calibri"/>
                <w:color w:val="000000"/>
                <w:sz w:val="18"/>
                <w:szCs w:val="18"/>
                <w:lang w:eastAsia="pt-PT"/>
              </w:rPr>
              <w:t>e</w:t>
            </w:r>
            <w:proofErr w:type="gramEnd"/>
            <w:r>
              <w:rPr>
                <w:rFonts w:ascii="Verdana" w:eastAsia="Times New Roman" w:hAnsi="Verdana" w:cs="Calibri"/>
                <w:color w:val="000000"/>
                <w:sz w:val="18"/>
                <w:szCs w:val="18"/>
                <w:lang w:eastAsia="pt-PT"/>
              </w:rPr>
              <w:t xml:space="preserve"> ≤ 50.000</w:t>
            </w:r>
          </w:p>
        </w:tc>
        <w:tc>
          <w:tcPr>
            <w:tcW w:w="2445" w:type="dxa"/>
            <w:tcBorders>
              <w:top w:val="nil"/>
              <w:left w:val="nil"/>
              <w:bottom w:val="single" w:sz="8" w:space="0" w:color="auto"/>
              <w:right w:val="single" w:sz="8" w:space="0" w:color="auto"/>
            </w:tcBorders>
            <w:shd w:val="clear" w:color="auto" w:fill="auto"/>
            <w:vAlign w:val="center"/>
            <w:hideMark/>
          </w:tcPr>
          <w:p w:rsidR="00DF0074" w:rsidRPr="00282C3A" w:rsidRDefault="004E3291" w:rsidP="00124CDA">
            <w:pPr>
              <w:spacing w:after="0" w:line="240" w:lineRule="auto"/>
              <w:jc w:val="center"/>
              <w:rPr>
                <w:rFonts w:ascii="Verdana" w:eastAsia="Times New Roman" w:hAnsi="Verdana" w:cs="Calibri"/>
                <w:color w:val="000000"/>
                <w:sz w:val="18"/>
                <w:szCs w:val="18"/>
                <w:lang w:eastAsia="pt-PT"/>
              </w:rPr>
            </w:pPr>
            <w:r>
              <w:rPr>
                <w:rFonts w:ascii="Verdana" w:eastAsia="Times New Roman" w:hAnsi="Verdana" w:cs="Calibri"/>
                <w:color w:val="000000"/>
                <w:sz w:val="18"/>
                <w:szCs w:val="18"/>
                <w:lang w:eastAsia="pt-PT"/>
              </w:rPr>
              <w:t>0</w:t>
            </w:r>
            <w:r w:rsidR="004C4D8D">
              <w:rPr>
                <w:rFonts w:ascii="Verdana" w:eastAsia="Times New Roman" w:hAnsi="Verdana" w:cs="Calibri"/>
                <w:color w:val="000000"/>
                <w:sz w:val="18"/>
                <w:szCs w:val="18"/>
                <w:lang w:eastAsia="pt-PT"/>
              </w:rPr>
              <w:t>,20</w:t>
            </w:r>
          </w:p>
        </w:tc>
      </w:tr>
      <w:tr w:rsidR="00DF0074" w:rsidRPr="00282C3A" w:rsidTr="00124CDA">
        <w:trPr>
          <w:trHeight w:val="240"/>
        </w:trPr>
        <w:tc>
          <w:tcPr>
            <w:tcW w:w="2516" w:type="dxa"/>
            <w:tcBorders>
              <w:top w:val="nil"/>
              <w:left w:val="single" w:sz="8" w:space="0" w:color="auto"/>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c>
          <w:tcPr>
            <w:tcW w:w="2445" w:type="dxa"/>
            <w:tcBorders>
              <w:top w:val="nil"/>
              <w:left w:val="nil"/>
              <w:bottom w:val="nil"/>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Calibri"/>
                <w:color w:val="000000"/>
                <w:sz w:val="18"/>
                <w:szCs w:val="18"/>
                <w:lang w:eastAsia="pt-PT"/>
              </w:rPr>
              <w:t> </w:t>
            </w:r>
          </w:p>
        </w:tc>
      </w:tr>
      <w:tr w:rsidR="00DF0074" w:rsidRPr="00282C3A" w:rsidTr="00124CDA">
        <w:trPr>
          <w:trHeight w:val="240"/>
        </w:trPr>
        <w:tc>
          <w:tcPr>
            <w:tcW w:w="2516" w:type="dxa"/>
            <w:tcBorders>
              <w:top w:val="nil"/>
              <w:left w:val="single" w:sz="8" w:space="0" w:color="auto"/>
              <w:bottom w:val="single" w:sz="8" w:space="0" w:color="auto"/>
              <w:right w:val="single" w:sz="8" w:space="0" w:color="auto"/>
            </w:tcBorders>
            <w:shd w:val="clear" w:color="auto" w:fill="auto"/>
            <w:vAlign w:val="center"/>
            <w:hideMark/>
          </w:tcPr>
          <w:p w:rsidR="00DF0074" w:rsidRPr="00282C3A" w:rsidRDefault="00DF0074" w:rsidP="00124CDA">
            <w:pPr>
              <w:spacing w:after="0" w:line="240" w:lineRule="auto"/>
              <w:jc w:val="center"/>
              <w:rPr>
                <w:rFonts w:ascii="Verdana" w:eastAsia="Times New Roman" w:hAnsi="Verdana" w:cs="Calibri"/>
                <w:color w:val="000000"/>
                <w:sz w:val="18"/>
                <w:szCs w:val="18"/>
                <w:lang w:eastAsia="pt-PT"/>
              </w:rPr>
            </w:pPr>
            <w:r w:rsidRPr="00282C3A">
              <w:rPr>
                <w:rFonts w:ascii="Verdana" w:eastAsia="Times New Roman" w:hAnsi="Verdana" w:cstheme="minorHAnsi"/>
                <w:color w:val="000000"/>
                <w:sz w:val="18"/>
                <w:szCs w:val="18"/>
                <w:lang w:eastAsia="pt-PT"/>
              </w:rPr>
              <w:t>&gt;50.000</w:t>
            </w:r>
          </w:p>
        </w:tc>
        <w:tc>
          <w:tcPr>
            <w:tcW w:w="2445" w:type="dxa"/>
            <w:tcBorders>
              <w:top w:val="nil"/>
              <w:left w:val="nil"/>
              <w:bottom w:val="single" w:sz="8" w:space="0" w:color="auto"/>
              <w:right w:val="single" w:sz="8" w:space="0" w:color="auto"/>
            </w:tcBorders>
            <w:shd w:val="clear" w:color="auto" w:fill="auto"/>
            <w:vAlign w:val="center"/>
            <w:hideMark/>
          </w:tcPr>
          <w:p w:rsidR="00DF0074" w:rsidRPr="00282C3A" w:rsidRDefault="00176C79" w:rsidP="00124CDA">
            <w:pPr>
              <w:spacing w:after="0" w:line="240" w:lineRule="auto"/>
              <w:jc w:val="center"/>
              <w:rPr>
                <w:rFonts w:ascii="Verdana" w:eastAsia="Times New Roman" w:hAnsi="Verdana" w:cs="Calibri"/>
                <w:color w:val="000000"/>
                <w:sz w:val="18"/>
                <w:szCs w:val="18"/>
                <w:lang w:eastAsia="pt-PT"/>
              </w:rPr>
            </w:pPr>
            <w:r>
              <w:rPr>
                <w:rFonts w:ascii="Verdana" w:eastAsia="Times New Roman" w:hAnsi="Verdana" w:cs="Calibri"/>
                <w:color w:val="000000"/>
                <w:sz w:val="18"/>
                <w:szCs w:val="18"/>
                <w:lang w:eastAsia="pt-PT"/>
              </w:rPr>
              <w:t>0,11</w:t>
            </w:r>
          </w:p>
        </w:tc>
      </w:tr>
    </w:tbl>
    <w:p w:rsidR="00DF0074" w:rsidRDefault="00DF0074" w:rsidP="00DF0074">
      <w:pPr>
        <w:spacing w:after="240"/>
        <w:jc w:val="both"/>
        <w:rPr>
          <w:rFonts w:ascii="Verdana" w:hAnsi="Verdana"/>
          <w:sz w:val="18"/>
          <w:szCs w:val="18"/>
        </w:rPr>
      </w:pPr>
    </w:p>
    <w:p w:rsidR="00282C3A" w:rsidRPr="00282C3A" w:rsidRDefault="00282C3A" w:rsidP="00DF0074">
      <w:pPr>
        <w:spacing w:after="240"/>
        <w:jc w:val="both"/>
        <w:rPr>
          <w:rFonts w:ascii="Verdana" w:hAnsi="Verdana"/>
          <w:sz w:val="18"/>
          <w:szCs w:val="18"/>
        </w:rPr>
      </w:pPr>
    </w:p>
    <w:p w:rsidR="00282C3A" w:rsidRPr="00282C3A" w:rsidRDefault="00DF0074" w:rsidP="00282C3A">
      <w:pPr>
        <w:pStyle w:val="Default"/>
        <w:jc w:val="both"/>
        <w:rPr>
          <w:rFonts w:ascii="Verdana" w:hAnsi="Verdana" w:cs="Calibri"/>
          <w:sz w:val="18"/>
          <w:szCs w:val="18"/>
        </w:rPr>
      </w:pPr>
      <w:r w:rsidRPr="00282C3A">
        <w:rPr>
          <w:rFonts w:ascii="Verdana" w:hAnsi="Verdana" w:cs="Calibri"/>
          <w:b/>
          <w:sz w:val="18"/>
          <w:szCs w:val="18"/>
        </w:rPr>
        <w:t xml:space="preserve">1.3 </w:t>
      </w:r>
      <w:r w:rsidRPr="00282C3A">
        <w:rPr>
          <w:rFonts w:ascii="Verdana" w:hAnsi="Verdana" w:cs="Calibri"/>
          <w:sz w:val="18"/>
          <w:szCs w:val="18"/>
        </w:rPr>
        <w:t>No sentido de proceder à validação do</w:t>
      </w:r>
      <w:r w:rsidR="00282C3A" w:rsidRPr="00282C3A">
        <w:rPr>
          <w:rFonts w:ascii="Verdana" w:hAnsi="Verdana" w:cs="Calibri"/>
          <w:sz w:val="18"/>
          <w:szCs w:val="18"/>
        </w:rPr>
        <w:t>s</w:t>
      </w:r>
      <w:r w:rsidRPr="00282C3A">
        <w:rPr>
          <w:rFonts w:ascii="Verdana" w:hAnsi="Verdana" w:cs="Calibri"/>
          <w:sz w:val="18"/>
          <w:szCs w:val="18"/>
        </w:rPr>
        <w:t xml:space="preserve"> custo</w:t>
      </w:r>
      <w:r w:rsidR="00282C3A" w:rsidRPr="00282C3A">
        <w:rPr>
          <w:rFonts w:ascii="Verdana" w:hAnsi="Verdana" w:cs="Calibri"/>
          <w:sz w:val="18"/>
          <w:szCs w:val="18"/>
        </w:rPr>
        <w:t>s</w:t>
      </w:r>
      <w:r w:rsidRPr="00282C3A">
        <w:rPr>
          <w:rFonts w:ascii="Verdana" w:hAnsi="Verdana" w:cs="Calibri"/>
          <w:sz w:val="18"/>
          <w:szCs w:val="18"/>
        </w:rPr>
        <w:t xml:space="preserve"> unitário</w:t>
      </w:r>
      <w:r w:rsidR="00282C3A" w:rsidRPr="00282C3A">
        <w:rPr>
          <w:rFonts w:ascii="Verdana" w:hAnsi="Verdana" w:cs="Calibri"/>
          <w:sz w:val="18"/>
          <w:szCs w:val="18"/>
        </w:rPr>
        <w:t>s</w:t>
      </w:r>
      <w:r w:rsidRPr="00282C3A">
        <w:rPr>
          <w:rFonts w:ascii="Verdana" w:hAnsi="Verdana" w:cs="Calibri"/>
          <w:sz w:val="18"/>
          <w:szCs w:val="18"/>
        </w:rPr>
        <w:t xml:space="preserve"> do litro de vinho, de acordo com a classe de capacidade, tendo em atenção que os valores calculados diferem dos anteriormente referidos e constantes das normas de análise das Operações 3.3.1 e 3.3.2, e no cumprimento do estabelecido nos artigos 60.º e 62.º, do Regulamento (UE) n.º 1305/2013, do Parlamento Europeu e do Conselho, de 17 de dezembro, foram contactados o IVV, I.P. (Instituto da Vinha e do Vinho) e o IVDP, I.P. (Instituto dos Vinhos do Douro e Porto)</w:t>
      </w:r>
      <w:r w:rsidR="00282C3A" w:rsidRPr="00282C3A">
        <w:rPr>
          <w:rFonts w:ascii="Verdana" w:hAnsi="Verdana" w:cs="Calibri"/>
          <w:sz w:val="18"/>
          <w:szCs w:val="18"/>
        </w:rPr>
        <w:t>.</w:t>
      </w:r>
    </w:p>
    <w:p w:rsidR="00282C3A" w:rsidRPr="00282C3A" w:rsidRDefault="00282C3A" w:rsidP="00282C3A">
      <w:pPr>
        <w:pStyle w:val="Default"/>
        <w:jc w:val="both"/>
        <w:rPr>
          <w:rFonts w:ascii="Verdana" w:hAnsi="Verdana" w:cs="Calibri"/>
          <w:sz w:val="18"/>
          <w:szCs w:val="18"/>
        </w:rPr>
      </w:pPr>
    </w:p>
    <w:p w:rsidR="00DF0074" w:rsidRPr="00282C3A" w:rsidRDefault="00282C3A" w:rsidP="00282C3A">
      <w:pPr>
        <w:pStyle w:val="Default"/>
        <w:jc w:val="both"/>
        <w:rPr>
          <w:rFonts w:ascii="Verdana" w:hAnsi="Verdana" w:cs="Calibri"/>
          <w:sz w:val="18"/>
          <w:szCs w:val="18"/>
        </w:rPr>
      </w:pPr>
      <w:r w:rsidRPr="00282C3A">
        <w:rPr>
          <w:rFonts w:ascii="Verdana" w:hAnsi="Verdana" w:cs="Calibri"/>
          <w:sz w:val="18"/>
          <w:szCs w:val="18"/>
        </w:rPr>
        <w:t xml:space="preserve">Aqueles Institutos </w:t>
      </w:r>
      <w:r w:rsidR="00DF0074" w:rsidRPr="00282C3A">
        <w:rPr>
          <w:rFonts w:ascii="Verdana" w:hAnsi="Verdana" w:cs="Calibri"/>
          <w:sz w:val="18"/>
          <w:szCs w:val="18"/>
        </w:rPr>
        <w:t>forne</w:t>
      </w:r>
      <w:r w:rsidRPr="00282C3A">
        <w:rPr>
          <w:rFonts w:ascii="Verdana" w:hAnsi="Verdana" w:cs="Calibri"/>
          <w:sz w:val="18"/>
          <w:szCs w:val="18"/>
        </w:rPr>
        <w:t>ceram os</w:t>
      </w:r>
      <w:r w:rsidR="00DF0074" w:rsidRPr="00282C3A">
        <w:rPr>
          <w:rFonts w:ascii="Verdana" w:hAnsi="Verdana" w:cs="Calibri"/>
          <w:sz w:val="18"/>
          <w:szCs w:val="18"/>
        </w:rPr>
        <w:t xml:space="preserve"> documentos designados por </w:t>
      </w:r>
      <w:r w:rsidR="00DF0074" w:rsidRPr="00282C3A">
        <w:rPr>
          <w:rFonts w:ascii="Verdana" w:hAnsi="Verdana" w:cstheme="minorHAnsi"/>
          <w:sz w:val="18"/>
          <w:szCs w:val="18"/>
        </w:rPr>
        <w:t>“IVV_PRODUTOS_ARMAZENAGEM_CONSULTAS V4</w:t>
      </w:r>
      <w:r w:rsidR="00DF0074" w:rsidRPr="00282C3A">
        <w:rPr>
          <w:rFonts w:ascii="Verdana" w:hAnsi="Verdana" w:cs="Calibri"/>
          <w:sz w:val="18"/>
          <w:szCs w:val="18"/>
        </w:rPr>
        <w:t xml:space="preserve">“ (ficheiro </w:t>
      </w:r>
      <w:proofErr w:type="spellStart"/>
      <w:r w:rsidR="00DF0074" w:rsidRPr="00282C3A">
        <w:rPr>
          <w:rFonts w:ascii="Verdana" w:hAnsi="Verdana" w:cs="Calibri"/>
          <w:i/>
          <w:sz w:val="18"/>
          <w:szCs w:val="18"/>
        </w:rPr>
        <w:t>exce</w:t>
      </w:r>
      <w:r w:rsidR="00DF0074" w:rsidRPr="00282C3A">
        <w:rPr>
          <w:rFonts w:ascii="Verdana" w:hAnsi="Verdana" w:cs="Calibri"/>
          <w:sz w:val="18"/>
          <w:szCs w:val="18"/>
        </w:rPr>
        <w:t>l</w:t>
      </w:r>
      <w:proofErr w:type="spellEnd"/>
      <w:r w:rsidR="00DF0074" w:rsidRPr="00282C3A">
        <w:rPr>
          <w:rFonts w:ascii="Verdana" w:hAnsi="Verdana" w:cs="Calibri"/>
          <w:sz w:val="18"/>
          <w:szCs w:val="18"/>
        </w:rPr>
        <w:t xml:space="preserve">) e do </w:t>
      </w:r>
      <w:proofErr w:type="gramStart"/>
      <w:r w:rsidR="00DF0074" w:rsidRPr="00282C3A">
        <w:rPr>
          <w:rFonts w:ascii="Verdana" w:hAnsi="Verdana" w:cs="Calibri"/>
          <w:sz w:val="18"/>
          <w:szCs w:val="18"/>
        </w:rPr>
        <w:t>email</w:t>
      </w:r>
      <w:proofErr w:type="gramEnd"/>
      <w:r w:rsidR="00DF0074" w:rsidRPr="00282C3A">
        <w:rPr>
          <w:rFonts w:ascii="Verdana" w:hAnsi="Verdana" w:cs="Calibri"/>
          <w:sz w:val="18"/>
          <w:szCs w:val="18"/>
        </w:rPr>
        <w:t xml:space="preserve"> do IVDP, I.P. em resposta ao pedido de colaboração da AG do PDR, que se anexam.</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pStyle w:val="Default"/>
        <w:jc w:val="both"/>
        <w:rPr>
          <w:rFonts w:ascii="Verdana" w:hAnsi="Verdana" w:cs="Calibri"/>
          <w:sz w:val="18"/>
          <w:szCs w:val="18"/>
        </w:rPr>
      </w:pPr>
      <w:r w:rsidRPr="00282C3A">
        <w:rPr>
          <w:rFonts w:ascii="Verdana" w:hAnsi="Verdana" w:cs="Calibri"/>
          <w:sz w:val="18"/>
          <w:szCs w:val="18"/>
        </w:rPr>
        <w:t xml:space="preserve">Uma vez analisada a informação disponibilizada, verificou-se não ser possível utilizar a mesma pelos motivos referidos no ponto a seguir. </w:t>
      </w:r>
    </w:p>
    <w:p w:rsidR="00DF0074" w:rsidRPr="00282C3A" w:rsidRDefault="00DF0074" w:rsidP="00DF0074">
      <w:pPr>
        <w:pStyle w:val="Default"/>
        <w:jc w:val="both"/>
        <w:rPr>
          <w:rFonts w:ascii="Verdana" w:hAnsi="Verdana" w:cs="Calibri"/>
          <w:sz w:val="18"/>
          <w:szCs w:val="18"/>
        </w:rPr>
      </w:pPr>
    </w:p>
    <w:p w:rsidR="00DF0074" w:rsidRPr="00282C3A" w:rsidRDefault="00DF0074" w:rsidP="00DF0074">
      <w:pPr>
        <w:spacing w:after="0" w:line="240" w:lineRule="auto"/>
        <w:rPr>
          <w:rFonts w:ascii="Verdana" w:hAnsi="Verdana"/>
          <w:sz w:val="18"/>
          <w:szCs w:val="18"/>
        </w:rPr>
      </w:pP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b/>
          <w:bCs/>
          <w:sz w:val="18"/>
          <w:szCs w:val="18"/>
        </w:rPr>
        <w:t>2. Definição de custos unitários a adotar para efeitos do financiamento da aquisição de depósitos para armazenagem de vinho</w:t>
      </w:r>
    </w:p>
    <w:p w:rsidR="00DF0074" w:rsidRPr="00282C3A" w:rsidRDefault="00DF0074" w:rsidP="00DF0074">
      <w:pPr>
        <w:pStyle w:val="Default"/>
        <w:jc w:val="both"/>
        <w:rPr>
          <w:rFonts w:ascii="Verdana" w:hAnsi="Verdana" w:cstheme="minorHAnsi"/>
          <w:b/>
          <w:sz w:val="18"/>
          <w:szCs w:val="18"/>
        </w:rPr>
      </w:pP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b/>
          <w:sz w:val="18"/>
          <w:szCs w:val="18"/>
        </w:rPr>
        <w:t>2.1</w:t>
      </w:r>
      <w:r w:rsidRPr="00282C3A">
        <w:rPr>
          <w:rFonts w:ascii="Verdana" w:hAnsi="Verdana" w:cstheme="minorHAnsi"/>
          <w:sz w:val="18"/>
          <w:szCs w:val="18"/>
        </w:rPr>
        <w:t xml:space="preserve"> Como referido no ponto 1.3, foram contactados o </w:t>
      </w:r>
      <w:r w:rsidRPr="00282C3A">
        <w:rPr>
          <w:rFonts w:ascii="Verdana" w:hAnsi="Verdana" w:cs="Calibri"/>
          <w:sz w:val="18"/>
          <w:szCs w:val="18"/>
        </w:rPr>
        <w:t>IVV, I.P. (Instituto da Vinha e do Vinho) e o IVDP, I.P. (Instituto dos Vinhos do Douro e Porto), tendo sido solicitada a colaboração destes Institutos na definição de uma tabela de custos unitários a adotar para efeitos do financiamento dos investimentos em questão (depósitos para armazenagem de vinho, em aço inox), em função de intervalos de capacidade, com base num racional (método de cálculo) de suporte à sua definição, documentalmente fundamentado.</w:t>
      </w:r>
    </w:p>
    <w:p w:rsidR="00DF0074" w:rsidRPr="00282C3A" w:rsidRDefault="00DF0074" w:rsidP="00DF0074">
      <w:pPr>
        <w:pStyle w:val="Default"/>
        <w:jc w:val="both"/>
        <w:rPr>
          <w:rFonts w:ascii="Verdana" w:hAnsi="Verdana" w:cstheme="minorHAnsi"/>
          <w:sz w:val="18"/>
          <w:szCs w:val="18"/>
        </w:rPr>
      </w:pP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sz w:val="18"/>
          <w:szCs w:val="18"/>
        </w:rPr>
        <w:t>Solicitava a AG do PDR2020 que a fundamentação em questão fosse suportada pelos seguintes elementos:</w:t>
      </w: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sz w:val="18"/>
          <w:szCs w:val="18"/>
        </w:rPr>
        <w:t>. Fontes e listas de elementos recolhidos e/ou orçamentos base utilizados, estudos concretos, projetos reais, consultas ao mercado, etc., que suportem aqueles valores;</w:t>
      </w: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sz w:val="18"/>
          <w:szCs w:val="18"/>
        </w:rPr>
        <w:t>. A metodologia utilizada – indicação do método estatístico (média ou moda) de valores e o horizonte temporal de recolha da informação.</w:t>
      </w:r>
    </w:p>
    <w:p w:rsidR="00DF0074" w:rsidRPr="00282C3A" w:rsidRDefault="00DF0074" w:rsidP="00DF0074">
      <w:pPr>
        <w:pStyle w:val="Default"/>
        <w:jc w:val="both"/>
        <w:rPr>
          <w:rFonts w:ascii="Verdana" w:hAnsi="Verdana" w:cstheme="minorHAnsi"/>
          <w:b/>
          <w:sz w:val="18"/>
          <w:szCs w:val="18"/>
        </w:rPr>
      </w:pP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b/>
          <w:sz w:val="18"/>
          <w:szCs w:val="18"/>
        </w:rPr>
        <w:t>2.1.1</w:t>
      </w:r>
      <w:r w:rsidRPr="00282C3A">
        <w:rPr>
          <w:rFonts w:ascii="Verdana" w:hAnsi="Verdana" w:cstheme="minorHAnsi"/>
          <w:sz w:val="18"/>
          <w:szCs w:val="18"/>
        </w:rPr>
        <w:t xml:space="preserve"> Contribuição do IVV, I.P.</w:t>
      </w: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sz w:val="18"/>
          <w:szCs w:val="18"/>
        </w:rPr>
        <w:t xml:space="preserve">Refere-se ao separador “Cubas” do ficheiro </w:t>
      </w:r>
      <w:proofErr w:type="spellStart"/>
      <w:r w:rsidRPr="00282C3A">
        <w:rPr>
          <w:rFonts w:ascii="Verdana" w:hAnsi="Verdana" w:cstheme="minorHAnsi"/>
          <w:i/>
          <w:sz w:val="18"/>
          <w:szCs w:val="18"/>
        </w:rPr>
        <w:t>excel</w:t>
      </w:r>
      <w:proofErr w:type="spellEnd"/>
      <w:r w:rsidRPr="00282C3A">
        <w:rPr>
          <w:rFonts w:ascii="Verdana" w:hAnsi="Verdana" w:cstheme="minorHAnsi"/>
          <w:i/>
          <w:sz w:val="18"/>
          <w:szCs w:val="18"/>
        </w:rPr>
        <w:t xml:space="preserve"> </w:t>
      </w:r>
      <w:r w:rsidRPr="00282C3A">
        <w:rPr>
          <w:rFonts w:ascii="Verdana" w:hAnsi="Verdana" w:cstheme="minorHAnsi"/>
          <w:sz w:val="18"/>
          <w:szCs w:val="18"/>
        </w:rPr>
        <w:t>com a</w:t>
      </w:r>
      <w:r w:rsidRPr="00282C3A">
        <w:rPr>
          <w:rFonts w:ascii="Verdana" w:hAnsi="Verdana" w:cstheme="minorHAnsi"/>
          <w:i/>
          <w:sz w:val="18"/>
          <w:szCs w:val="18"/>
        </w:rPr>
        <w:t xml:space="preserve"> </w:t>
      </w:r>
      <w:r w:rsidRPr="00282C3A">
        <w:rPr>
          <w:rFonts w:ascii="Verdana" w:hAnsi="Verdana" w:cstheme="minorHAnsi"/>
          <w:sz w:val="18"/>
          <w:szCs w:val="18"/>
        </w:rPr>
        <w:t>designação “IVV_PRODUTOS_ARMAZENAGEM_CONSULTAS V4”.</w:t>
      </w: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sz w:val="18"/>
          <w:szCs w:val="18"/>
        </w:rPr>
        <w:t>Não foram apresentados os documentos (orçamentos/propostas de fornecimento) que suportam os dados fornecidos, os quais são exíguos e não foram trabalhados em termos estatísticos.</w:t>
      </w:r>
    </w:p>
    <w:p w:rsidR="00DF0074" w:rsidRDefault="00282C3A" w:rsidP="00DF0074">
      <w:pPr>
        <w:pStyle w:val="Default"/>
        <w:jc w:val="both"/>
        <w:rPr>
          <w:rFonts w:ascii="Verdana" w:hAnsi="Verdana" w:cstheme="minorHAnsi"/>
          <w:sz w:val="18"/>
          <w:szCs w:val="18"/>
        </w:rPr>
      </w:pPr>
      <w:r w:rsidRPr="00282C3A">
        <w:rPr>
          <w:rFonts w:ascii="Verdana" w:hAnsi="Verdana" w:cstheme="minorHAnsi"/>
          <w:sz w:val="18"/>
          <w:szCs w:val="18"/>
        </w:rPr>
        <w:t>Não foram</w:t>
      </w:r>
      <w:r w:rsidR="00DF0074" w:rsidRPr="00282C3A">
        <w:rPr>
          <w:rFonts w:ascii="Verdana" w:hAnsi="Verdana" w:cstheme="minorHAnsi"/>
          <w:sz w:val="18"/>
          <w:szCs w:val="18"/>
        </w:rPr>
        <w:t xml:space="preserve"> propostos custos unitários.</w:t>
      </w:r>
    </w:p>
    <w:p w:rsidR="00282C3A" w:rsidRDefault="00282C3A" w:rsidP="00DF0074">
      <w:pPr>
        <w:pStyle w:val="Default"/>
        <w:jc w:val="both"/>
        <w:rPr>
          <w:rFonts w:ascii="Verdana" w:hAnsi="Verdana" w:cstheme="minorHAnsi"/>
          <w:sz w:val="18"/>
          <w:szCs w:val="18"/>
        </w:rPr>
      </w:pP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b/>
          <w:sz w:val="18"/>
          <w:szCs w:val="18"/>
        </w:rPr>
        <w:lastRenderedPageBreak/>
        <w:t>2.1.2</w:t>
      </w:r>
      <w:r w:rsidRPr="00282C3A">
        <w:rPr>
          <w:rFonts w:ascii="Verdana" w:hAnsi="Verdana" w:cstheme="minorHAnsi"/>
          <w:sz w:val="18"/>
          <w:szCs w:val="18"/>
        </w:rPr>
        <w:t xml:space="preserve"> Contribuição do IVDP, I.P.</w:t>
      </w:r>
    </w:p>
    <w:p w:rsidR="00DF0074" w:rsidRPr="00282C3A" w:rsidRDefault="00DF0074" w:rsidP="00DF0074">
      <w:pPr>
        <w:pStyle w:val="Default"/>
        <w:jc w:val="both"/>
        <w:rPr>
          <w:rFonts w:ascii="Verdana" w:hAnsi="Verdana" w:cstheme="minorHAnsi"/>
          <w:sz w:val="18"/>
          <w:szCs w:val="18"/>
        </w:rPr>
      </w:pP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sz w:val="18"/>
          <w:szCs w:val="18"/>
        </w:rPr>
        <w:t xml:space="preserve">Os elementos fornecidos por este Instituto constam do </w:t>
      </w:r>
      <w:proofErr w:type="gramStart"/>
      <w:r w:rsidRPr="00282C3A">
        <w:rPr>
          <w:rFonts w:ascii="Verdana" w:hAnsi="Verdana" w:cstheme="minorHAnsi"/>
          <w:sz w:val="18"/>
          <w:szCs w:val="18"/>
        </w:rPr>
        <w:t>email</w:t>
      </w:r>
      <w:proofErr w:type="gramEnd"/>
      <w:r w:rsidRPr="00282C3A">
        <w:rPr>
          <w:rFonts w:ascii="Verdana" w:hAnsi="Verdana" w:cstheme="minorHAnsi"/>
          <w:sz w:val="18"/>
          <w:szCs w:val="18"/>
        </w:rPr>
        <w:t xml:space="preserve"> de 29.05.2021 (em anexo).</w:t>
      </w:r>
    </w:p>
    <w:p w:rsidR="00DF0074" w:rsidRPr="00282C3A" w:rsidRDefault="00DF0074" w:rsidP="00DF0074">
      <w:pPr>
        <w:pStyle w:val="Default"/>
        <w:jc w:val="both"/>
        <w:rPr>
          <w:rFonts w:ascii="Verdana" w:hAnsi="Verdana" w:cstheme="minorHAnsi"/>
          <w:sz w:val="18"/>
          <w:szCs w:val="18"/>
        </w:rPr>
      </w:pPr>
      <w:r w:rsidRPr="00282C3A">
        <w:rPr>
          <w:rFonts w:ascii="Verdana" w:hAnsi="Verdana" w:cstheme="minorHAnsi"/>
          <w:sz w:val="18"/>
          <w:szCs w:val="18"/>
        </w:rPr>
        <w:t>Foram apresentadas duas propostas de custos unitários, uma tendo por base o tipo de “vasilha” (onde se incluem “vasilhas” de inox e de cascaria de madeira) e a outra com</w:t>
      </w:r>
      <w:r w:rsidR="00282C3A" w:rsidRPr="00282C3A">
        <w:rPr>
          <w:rFonts w:ascii="Verdana" w:hAnsi="Verdana" w:cstheme="minorHAnsi"/>
          <w:sz w:val="18"/>
          <w:szCs w:val="18"/>
        </w:rPr>
        <w:t xml:space="preserve"> base nas capacidades das “vasilhas”</w:t>
      </w:r>
      <w:r w:rsidRPr="00282C3A">
        <w:rPr>
          <w:rFonts w:ascii="Verdana" w:hAnsi="Verdana" w:cstheme="minorHAnsi"/>
          <w:sz w:val="18"/>
          <w:szCs w:val="18"/>
        </w:rPr>
        <w:t>.</w:t>
      </w:r>
    </w:p>
    <w:p w:rsidR="00282C3A" w:rsidRPr="00282C3A" w:rsidRDefault="00282C3A" w:rsidP="00DF0074">
      <w:pPr>
        <w:jc w:val="both"/>
        <w:rPr>
          <w:rFonts w:ascii="Verdana" w:hAnsi="Verdana"/>
          <w:sz w:val="18"/>
          <w:szCs w:val="18"/>
        </w:rPr>
      </w:pPr>
    </w:p>
    <w:p w:rsidR="00282C3A" w:rsidRPr="00282C3A" w:rsidRDefault="00DF0074" w:rsidP="00DF0074">
      <w:pPr>
        <w:jc w:val="both"/>
        <w:rPr>
          <w:rFonts w:ascii="Verdana" w:hAnsi="Verdana"/>
          <w:sz w:val="18"/>
          <w:szCs w:val="18"/>
        </w:rPr>
      </w:pPr>
      <w:r w:rsidRPr="00282C3A">
        <w:rPr>
          <w:rFonts w:ascii="Verdana" w:hAnsi="Verdana"/>
          <w:sz w:val="18"/>
          <w:szCs w:val="18"/>
        </w:rPr>
        <w:t xml:space="preserve">Tendo em atenção ser objetivo do Anúncio a ajuda à obtenção de capacidade de armazenagem deficitária em função de dificuldades sentidas pelos operadores no escoamento dos seus vinhos durante a pandemia de COVID 19, não é apoiada a aquisição de barricas/toneis de madeira (as quais são utilizadas para estágio de vinhos). </w:t>
      </w:r>
    </w:p>
    <w:p w:rsidR="00DF0074" w:rsidRPr="00282C3A" w:rsidRDefault="00DF0074" w:rsidP="00DF0074">
      <w:pPr>
        <w:jc w:val="both"/>
        <w:rPr>
          <w:rFonts w:ascii="Verdana" w:hAnsi="Verdana"/>
          <w:sz w:val="18"/>
          <w:szCs w:val="18"/>
        </w:rPr>
      </w:pPr>
      <w:r w:rsidRPr="00282C3A">
        <w:rPr>
          <w:rFonts w:ascii="Verdana" w:hAnsi="Verdana"/>
          <w:sz w:val="18"/>
          <w:szCs w:val="18"/>
        </w:rPr>
        <w:t>Por outro lado, entendemos que não deveriam ser tidos em consideração quaisquer valores constantes das normas de análise referidas no ponto 1.1.</w:t>
      </w:r>
    </w:p>
    <w:p w:rsidR="00DF0074" w:rsidRPr="00282C3A" w:rsidRDefault="00DF0074" w:rsidP="00DF0074">
      <w:pPr>
        <w:jc w:val="both"/>
        <w:rPr>
          <w:rFonts w:ascii="Verdana" w:hAnsi="Verdana"/>
          <w:sz w:val="18"/>
          <w:szCs w:val="18"/>
        </w:rPr>
      </w:pPr>
      <w:r w:rsidRPr="00282C3A">
        <w:rPr>
          <w:rFonts w:ascii="Verdana" w:hAnsi="Verdana"/>
          <w:sz w:val="18"/>
          <w:szCs w:val="18"/>
        </w:rPr>
        <w:t xml:space="preserve">Assim, uma vez retirados os dados relativos a barricas de madeira e a valores de referência das normas de análise, chegou-se aos seguintes valores, constantes do ficheiro </w:t>
      </w:r>
      <w:proofErr w:type="spellStart"/>
      <w:r w:rsidRPr="00282C3A">
        <w:rPr>
          <w:rFonts w:ascii="Verdana" w:hAnsi="Verdana"/>
          <w:i/>
          <w:sz w:val="18"/>
          <w:szCs w:val="18"/>
        </w:rPr>
        <w:t>excel</w:t>
      </w:r>
      <w:proofErr w:type="spellEnd"/>
      <w:r w:rsidRPr="00282C3A">
        <w:rPr>
          <w:rFonts w:ascii="Verdana" w:hAnsi="Verdana"/>
          <w:i/>
          <w:sz w:val="18"/>
          <w:szCs w:val="18"/>
        </w:rPr>
        <w:t xml:space="preserve"> </w:t>
      </w:r>
      <w:r w:rsidRPr="00282C3A">
        <w:rPr>
          <w:rFonts w:ascii="Verdana" w:hAnsi="Verdana"/>
          <w:sz w:val="18"/>
          <w:szCs w:val="18"/>
        </w:rPr>
        <w:t>“Tabela_ IVDP_ trabalhada” (que se anexa).</w:t>
      </w:r>
    </w:p>
    <w:p w:rsidR="00DF0074" w:rsidRPr="00282C3A" w:rsidRDefault="00DF0074" w:rsidP="00DF0074">
      <w:pPr>
        <w:spacing w:after="0" w:line="240" w:lineRule="auto"/>
        <w:contextualSpacing/>
        <w:jc w:val="both"/>
        <w:rPr>
          <w:rFonts w:ascii="Verdana" w:hAnsi="Verdana"/>
          <w:bCs/>
          <w:sz w:val="18"/>
          <w:szCs w:val="18"/>
        </w:rPr>
      </w:pPr>
      <w:r w:rsidRPr="00282C3A">
        <w:rPr>
          <w:rFonts w:ascii="Verdana" w:hAnsi="Verdana"/>
          <w:bCs/>
          <w:sz w:val="18"/>
          <w:szCs w:val="18"/>
        </w:rPr>
        <w:t>a) De acordo com o tipo de vasilhas – “vasilhas” de inox: 0,28€/l.</w:t>
      </w:r>
    </w:p>
    <w:p w:rsidR="00DF0074" w:rsidRPr="00282C3A" w:rsidRDefault="00DF0074" w:rsidP="00DF0074">
      <w:pPr>
        <w:spacing w:after="0" w:line="252" w:lineRule="auto"/>
        <w:contextualSpacing/>
        <w:rPr>
          <w:rFonts w:ascii="Verdana" w:hAnsi="Verdana"/>
          <w:bCs/>
          <w:sz w:val="18"/>
          <w:szCs w:val="18"/>
        </w:rPr>
      </w:pPr>
    </w:p>
    <w:p w:rsidR="00DF0074" w:rsidRPr="00282C3A" w:rsidRDefault="00DF0074" w:rsidP="00DF0074">
      <w:pPr>
        <w:spacing w:after="0" w:line="252" w:lineRule="auto"/>
        <w:contextualSpacing/>
        <w:jc w:val="both"/>
        <w:rPr>
          <w:rFonts w:ascii="Verdana" w:hAnsi="Verdana"/>
          <w:bCs/>
          <w:sz w:val="18"/>
          <w:szCs w:val="18"/>
        </w:rPr>
      </w:pPr>
      <w:r w:rsidRPr="00282C3A">
        <w:rPr>
          <w:rFonts w:ascii="Verdana" w:hAnsi="Verdana"/>
          <w:bCs/>
          <w:sz w:val="18"/>
          <w:szCs w:val="18"/>
        </w:rPr>
        <w:t>b) De acordo com a capacidade dos depósitos: 0,61€/l (depósitos com 5.000 litros), 0,35€/l (depósitos com 25.000 litros) e 0,21€/l (depósitos com 50.000 litros).</w:t>
      </w:r>
    </w:p>
    <w:p w:rsidR="00DF0074" w:rsidRPr="00282C3A" w:rsidRDefault="00DF0074" w:rsidP="00DF0074">
      <w:pPr>
        <w:spacing w:after="0" w:line="252" w:lineRule="auto"/>
        <w:contextualSpacing/>
        <w:rPr>
          <w:rFonts w:ascii="Verdana" w:hAnsi="Verdana"/>
          <w:bCs/>
          <w:sz w:val="18"/>
          <w:szCs w:val="18"/>
        </w:rPr>
      </w:pPr>
    </w:p>
    <w:p w:rsidR="00DF0074" w:rsidRPr="00282C3A" w:rsidRDefault="00DF0074" w:rsidP="00DF0074">
      <w:pPr>
        <w:spacing w:after="0" w:line="240" w:lineRule="auto"/>
        <w:contextualSpacing/>
        <w:jc w:val="both"/>
        <w:rPr>
          <w:rFonts w:ascii="Verdana" w:hAnsi="Verdana"/>
          <w:bCs/>
          <w:sz w:val="18"/>
          <w:szCs w:val="18"/>
        </w:rPr>
      </w:pPr>
      <w:r w:rsidRPr="00282C3A">
        <w:rPr>
          <w:rFonts w:ascii="Verdana" w:hAnsi="Verdana"/>
          <w:bCs/>
          <w:sz w:val="18"/>
          <w:szCs w:val="18"/>
        </w:rPr>
        <w:t>Assim, para a determinação destes custos unitários contribuíram dados relativos a depósitos com capacidade de 5.000 litros (3 valores), com capacidade de 25.000 litros (2 valores) e com capacidade de 50.000 litros (2 valores).</w:t>
      </w:r>
    </w:p>
    <w:p w:rsidR="00DF0074" w:rsidRPr="00282C3A" w:rsidRDefault="00DF0074" w:rsidP="00DF0074">
      <w:pPr>
        <w:spacing w:after="0" w:line="252" w:lineRule="auto"/>
        <w:contextualSpacing/>
        <w:rPr>
          <w:rFonts w:ascii="Verdana" w:hAnsi="Verdana"/>
          <w:bCs/>
          <w:sz w:val="18"/>
          <w:szCs w:val="18"/>
        </w:rPr>
      </w:pPr>
    </w:p>
    <w:p w:rsidR="00DF0074" w:rsidRPr="00282C3A" w:rsidRDefault="00DF0074" w:rsidP="00DF0074">
      <w:pPr>
        <w:spacing w:after="0" w:line="252" w:lineRule="auto"/>
        <w:contextualSpacing/>
        <w:jc w:val="both"/>
        <w:rPr>
          <w:rFonts w:ascii="Verdana" w:hAnsi="Verdana"/>
          <w:bCs/>
          <w:sz w:val="18"/>
          <w:szCs w:val="18"/>
        </w:rPr>
      </w:pPr>
      <w:r w:rsidRPr="00282C3A">
        <w:rPr>
          <w:rFonts w:ascii="Verdana" w:hAnsi="Verdana"/>
          <w:bCs/>
          <w:sz w:val="18"/>
          <w:szCs w:val="18"/>
        </w:rPr>
        <w:t>Mais uma vez se considerou que a informação prestada não poderia ser utilizada na construção da tabela normalizada de custos unitários, dada a manifesta escassez de dados.</w:t>
      </w:r>
    </w:p>
    <w:p w:rsidR="00DF0074" w:rsidRPr="00282C3A" w:rsidRDefault="00DF0074" w:rsidP="00DF0074">
      <w:pPr>
        <w:spacing w:after="0" w:line="252" w:lineRule="auto"/>
        <w:ind w:left="360"/>
        <w:contextualSpacing/>
        <w:jc w:val="both"/>
        <w:rPr>
          <w:rFonts w:ascii="Verdana" w:hAnsi="Verdana"/>
          <w:bCs/>
          <w:sz w:val="18"/>
          <w:szCs w:val="18"/>
        </w:rPr>
      </w:pPr>
    </w:p>
    <w:p w:rsidR="007A2E81" w:rsidRPr="00282C3A" w:rsidRDefault="00DF0074" w:rsidP="00282C3A">
      <w:pPr>
        <w:jc w:val="both"/>
        <w:rPr>
          <w:rFonts w:ascii="Verdana" w:hAnsi="Verdana"/>
          <w:bCs/>
          <w:sz w:val="18"/>
          <w:szCs w:val="18"/>
        </w:rPr>
      </w:pPr>
      <w:r w:rsidRPr="00282C3A">
        <w:rPr>
          <w:rFonts w:ascii="Verdana" w:hAnsi="Verdana"/>
          <w:b/>
          <w:sz w:val="18"/>
          <w:szCs w:val="18"/>
        </w:rPr>
        <w:t xml:space="preserve">2.1.3 </w:t>
      </w:r>
      <w:r w:rsidRPr="00282C3A">
        <w:rPr>
          <w:rFonts w:ascii="Verdana" w:hAnsi="Verdana"/>
          <w:sz w:val="18"/>
          <w:szCs w:val="18"/>
        </w:rPr>
        <w:t>Tendo em atenção a necessidade de construção da tabela</w:t>
      </w:r>
      <w:r w:rsidRPr="00282C3A">
        <w:rPr>
          <w:rFonts w:ascii="Verdana" w:hAnsi="Verdana"/>
          <w:b/>
          <w:sz w:val="18"/>
          <w:szCs w:val="18"/>
        </w:rPr>
        <w:t xml:space="preserve"> </w:t>
      </w:r>
      <w:r w:rsidRPr="00282C3A">
        <w:rPr>
          <w:rFonts w:ascii="Verdana" w:hAnsi="Verdana"/>
          <w:bCs/>
          <w:sz w:val="18"/>
          <w:szCs w:val="18"/>
        </w:rPr>
        <w:t xml:space="preserve">normalizada de custos unitários a ser utilizada em Anúncio que prevê a ajuda à aquisição de capacidade de armazenagem de vinho, consubstanciada na aquisição de depósitos de armazenagem em aço inox 304 e/ou 316, </w:t>
      </w:r>
      <w:r w:rsidR="00282C3A" w:rsidRPr="00282C3A">
        <w:rPr>
          <w:rFonts w:ascii="Verdana" w:hAnsi="Verdana"/>
          <w:bCs/>
          <w:sz w:val="18"/>
          <w:szCs w:val="18"/>
        </w:rPr>
        <w:t xml:space="preserve">e dada a parca informação disponibilizada pelos Institutos regulamentadores do setor do vinho, </w:t>
      </w:r>
      <w:r w:rsidRPr="00282C3A">
        <w:rPr>
          <w:rFonts w:ascii="Verdana" w:hAnsi="Verdana"/>
          <w:bCs/>
          <w:sz w:val="18"/>
          <w:szCs w:val="18"/>
        </w:rPr>
        <w:t xml:space="preserve">considerou-se ser de utilizar a tabela </w:t>
      </w:r>
      <w:r w:rsidR="00282C3A" w:rsidRPr="00282C3A">
        <w:rPr>
          <w:rFonts w:ascii="Verdana" w:hAnsi="Verdana"/>
          <w:bCs/>
          <w:sz w:val="18"/>
          <w:szCs w:val="18"/>
        </w:rPr>
        <w:t xml:space="preserve">de custos normalizados </w:t>
      </w:r>
      <w:r w:rsidRPr="00282C3A">
        <w:rPr>
          <w:rFonts w:ascii="Verdana" w:hAnsi="Verdana"/>
          <w:bCs/>
          <w:sz w:val="18"/>
          <w:szCs w:val="18"/>
        </w:rPr>
        <w:t xml:space="preserve">construída por esta AG </w:t>
      </w:r>
      <w:r w:rsidR="00282C3A" w:rsidRPr="00282C3A">
        <w:rPr>
          <w:rFonts w:ascii="Verdana" w:hAnsi="Verdana"/>
          <w:bCs/>
          <w:sz w:val="18"/>
          <w:szCs w:val="18"/>
        </w:rPr>
        <w:t xml:space="preserve">e </w:t>
      </w:r>
      <w:r w:rsidRPr="00282C3A">
        <w:rPr>
          <w:rFonts w:ascii="Verdana" w:hAnsi="Verdana"/>
          <w:bCs/>
          <w:sz w:val="18"/>
          <w:szCs w:val="18"/>
        </w:rPr>
        <w:t>referida no ponto 1.2.</w:t>
      </w:r>
    </w:p>
    <w:sectPr w:rsidR="007A2E81" w:rsidRPr="00282C3A" w:rsidSect="001B5BDA">
      <w:pgSz w:w="11906" w:h="16838"/>
      <w:pgMar w:top="1417" w:right="1701" w:bottom="1417" w:left="1701" w:header="708" w:footer="708" w:gutter="0"/>
      <w:pgBorders w:offsetFrom="page">
        <w:top w:val="single" w:sz="4" w:space="26" w:color="auto"/>
        <w:left w:val="single" w:sz="4" w:space="26" w:color="auto"/>
        <w:bottom w:val="single" w:sz="4" w:space="26" w:color="auto"/>
        <w:right w:val="single" w:sz="4" w:space="26"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C80"/>
    <w:multiLevelType w:val="hybridMultilevel"/>
    <w:tmpl w:val="5BC071BA"/>
    <w:lvl w:ilvl="0" w:tplc="67AC8CFC">
      <w:start w:val="3"/>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D843D6"/>
    <w:multiLevelType w:val="hybridMultilevel"/>
    <w:tmpl w:val="00F29D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A322EC9"/>
    <w:multiLevelType w:val="hybridMultilevel"/>
    <w:tmpl w:val="3A9CE5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5CF248D"/>
    <w:multiLevelType w:val="hybridMultilevel"/>
    <w:tmpl w:val="D108B816"/>
    <w:lvl w:ilvl="0" w:tplc="B3B0078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6295D01"/>
    <w:multiLevelType w:val="hybridMultilevel"/>
    <w:tmpl w:val="6B783E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85515CF"/>
    <w:multiLevelType w:val="hybridMultilevel"/>
    <w:tmpl w:val="D17E8DE4"/>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51AC0867"/>
    <w:multiLevelType w:val="hybridMultilevel"/>
    <w:tmpl w:val="9166A37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8B73E05"/>
    <w:multiLevelType w:val="hybridMultilevel"/>
    <w:tmpl w:val="66DEECF8"/>
    <w:lvl w:ilvl="0" w:tplc="6C5EAD00">
      <w:start w:val="20"/>
      <w:numFmt w:val="bullet"/>
      <w:lvlText w:val=""/>
      <w:lvlJc w:val="left"/>
      <w:pPr>
        <w:ind w:left="720" w:hanging="360"/>
      </w:pPr>
      <w:rPr>
        <w:rFonts w:ascii="Wingdings" w:eastAsiaTheme="minorHAnsi" w:hAnsi="Wingdings"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915484C"/>
    <w:multiLevelType w:val="hybridMultilevel"/>
    <w:tmpl w:val="0D6A1CE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D461D2B"/>
    <w:multiLevelType w:val="hybridMultilevel"/>
    <w:tmpl w:val="85049198"/>
    <w:lvl w:ilvl="0" w:tplc="6826F820">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15:restartNumberingAfterBreak="0">
    <w:nsid w:val="68682C5E"/>
    <w:multiLevelType w:val="hybridMultilevel"/>
    <w:tmpl w:val="C52485F6"/>
    <w:lvl w:ilvl="0" w:tplc="6C5EC3F2">
      <w:numFmt w:val="bullet"/>
      <w:lvlText w:val=""/>
      <w:lvlJc w:val="left"/>
      <w:pPr>
        <w:ind w:left="720" w:hanging="360"/>
      </w:pPr>
      <w:rPr>
        <w:rFonts w:ascii="Wingdings" w:eastAsia="Times New Roman" w:hAnsi="Wingdings"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A0323EA"/>
    <w:multiLevelType w:val="hybridMultilevel"/>
    <w:tmpl w:val="165C41EA"/>
    <w:lvl w:ilvl="0" w:tplc="447E154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FC17300"/>
    <w:multiLevelType w:val="hybridMultilevel"/>
    <w:tmpl w:val="0FC8E3F8"/>
    <w:lvl w:ilvl="0" w:tplc="0816000F">
      <w:start w:val="1"/>
      <w:numFmt w:val="decimal"/>
      <w:lvlText w:val="%1."/>
      <w:lvlJc w:val="left"/>
      <w:pPr>
        <w:ind w:left="927" w:hanging="360"/>
      </w:pPr>
    </w:lvl>
    <w:lvl w:ilvl="1" w:tplc="0816000F">
      <w:start w:val="1"/>
      <w:numFmt w:val="decimal"/>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num w:numId="1">
    <w:abstractNumId w:val="8"/>
  </w:num>
  <w:num w:numId="2">
    <w:abstractNumId w:val="2"/>
  </w:num>
  <w:num w:numId="3">
    <w:abstractNumId w:val="12"/>
  </w:num>
  <w:num w:numId="4">
    <w:abstractNumId w:val="4"/>
  </w:num>
  <w:num w:numId="5">
    <w:abstractNumId w:val="9"/>
  </w:num>
  <w:num w:numId="6">
    <w:abstractNumId w:val="1"/>
  </w:num>
  <w:num w:numId="7">
    <w:abstractNumId w:val="6"/>
  </w:num>
  <w:num w:numId="8">
    <w:abstractNumId w:val="5"/>
  </w:num>
  <w:num w:numId="9">
    <w:abstractNumId w:val="0"/>
  </w:num>
  <w:num w:numId="10">
    <w:abstractNumId w:val="1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88"/>
    <w:rsid w:val="00035E57"/>
    <w:rsid w:val="000364BE"/>
    <w:rsid w:val="00085E21"/>
    <w:rsid w:val="00086154"/>
    <w:rsid w:val="00086B51"/>
    <w:rsid w:val="000D4E5C"/>
    <w:rsid w:val="00120B2C"/>
    <w:rsid w:val="001434F0"/>
    <w:rsid w:val="00150181"/>
    <w:rsid w:val="00166B1D"/>
    <w:rsid w:val="00176C79"/>
    <w:rsid w:val="001A578F"/>
    <w:rsid w:val="001B5BDA"/>
    <w:rsid w:val="001C0F67"/>
    <w:rsid w:val="00227276"/>
    <w:rsid w:val="00260292"/>
    <w:rsid w:val="00282C3A"/>
    <w:rsid w:val="002913C5"/>
    <w:rsid w:val="00297A4B"/>
    <w:rsid w:val="002B74CF"/>
    <w:rsid w:val="002C3617"/>
    <w:rsid w:val="002E64C3"/>
    <w:rsid w:val="003413FE"/>
    <w:rsid w:val="003A0907"/>
    <w:rsid w:val="003C37C2"/>
    <w:rsid w:val="003E6932"/>
    <w:rsid w:val="00401993"/>
    <w:rsid w:val="00405688"/>
    <w:rsid w:val="00451614"/>
    <w:rsid w:val="00490AA4"/>
    <w:rsid w:val="004B7B63"/>
    <w:rsid w:val="004C4D8D"/>
    <w:rsid w:val="004E3291"/>
    <w:rsid w:val="004F1AC7"/>
    <w:rsid w:val="0050056F"/>
    <w:rsid w:val="0051210C"/>
    <w:rsid w:val="00512CC8"/>
    <w:rsid w:val="00530FA5"/>
    <w:rsid w:val="00566102"/>
    <w:rsid w:val="005C0620"/>
    <w:rsid w:val="005C11CE"/>
    <w:rsid w:val="005E65BD"/>
    <w:rsid w:val="00616F47"/>
    <w:rsid w:val="00637E6E"/>
    <w:rsid w:val="006A0480"/>
    <w:rsid w:val="006A2771"/>
    <w:rsid w:val="006A5545"/>
    <w:rsid w:val="006F3537"/>
    <w:rsid w:val="006F3A09"/>
    <w:rsid w:val="00700918"/>
    <w:rsid w:val="00702995"/>
    <w:rsid w:val="00707A0F"/>
    <w:rsid w:val="00716C65"/>
    <w:rsid w:val="007355F3"/>
    <w:rsid w:val="0074404B"/>
    <w:rsid w:val="00746EE1"/>
    <w:rsid w:val="00775B0B"/>
    <w:rsid w:val="0079341F"/>
    <w:rsid w:val="007A2E81"/>
    <w:rsid w:val="007A5EB8"/>
    <w:rsid w:val="00807EE3"/>
    <w:rsid w:val="00821E78"/>
    <w:rsid w:val="00840C86"/>
    <w:rsid w:val="00854FEA"/>
    <w:rsid w:val="00856BF2"/>
    <w:rsid w:val="00874FBF"/>
    <w:rsid w:val="008A65AC"/>
    <w:rsid w:val="008C2ECB"/>
    <w:rsid w:val="009526D4"/>
    <w:rsid w:val="009638F3"/>
    <w:rsid w:val="00975E78"/>
    <w:rsid w:val="009E22CB"/>
    <w:rsid w:val="009E384C"/>
    <w:rsid w:val="009F6F9D"/>
    <w:rsid w:val="00A20D69"/>
    <w:rsid w:val="00A245BC"/>
    <w:rsid w:val="00A772B9"/>
    <w:rsid w:val="00A80B1F"/>
    <w:rsid w:val="00AD3152"/>
    <w:rsid w:val="00AE482E"/>
    <w:rsid w:val="00AE7D38"/>
    <w:rsid w:val="00B36E2E"/>
    <w:rsid w:val="00B37E70"/>
    <w:rsid w:val="00B41F3C"/>
    <w:rsid w:val="00B458AC"/>
    <w:rsid w:val="00B52933"/>
    <w:rsid w:val="00B603C2"/>
    <w:rsid w:val="00B66713"/>
    <w:rsid w:val="00BB3D2E"/>
    <w:rsid w:val="00BB5263"/>
    <w:rsid w:val="00BC4295"/>
    <w:rsid w:val="00BD0511"/>
    <w:rsid w:val="00BE22F6"/>
    <w:rsid w:val="00BF538D"/>
    <w:rsid w:val="00C262EE"/>
    <w:rsid w:val="00C4327D"/>
    <w:rsid w:val="00C574CC"/>
    <w:rsid w:val="00C74ABB"/>
    <w:rsid w:val="00CB736A"/>
    <w:rsid w:val="00CC4987"/>
    <w:rsid w:val="00CE2C0C"/>
    <w:rsid w:val="00CE6992"/>
    <w:rsid w:val="00CF2879"/>
    <w:rsid w:val="00D110C7"/>
    <w:rsid w:val="00D50995"/>
    <w:rsid w:val="00D549EF"/>
    <w:rsid w:val="00DC7A28"/>
    <w:rsid w:val="00DD7B65"/>
    <w:rsid w:val="00DF0074"/>
    <w:rsid w:val="00E07E35"/>
    <w:rsid w:val="00E25EBF"/>
    <w:rsid w:val="00E33E44"/>
    <w:rsid w:val="00E631DB"/>
    <w:rsid w:val="00E86DEF"/>
    <w:rsid w:val="00EB3176"/>
    <w:rsid w:val="00EB6EA4"/>
    <w:rsid w:val="00EC216D"/>
    <w:rsid w:val="00EC7473"/>
    <w:rsid w:val="00ED7E1B"/>
    <w:rsid w:val="00EF7B93"/>
    <w:rsid w:val="00F11273"/>
    <w:rsid w:val="00F141E7"/>
    <w:rsid w:val="00F40FC0"/>
    <w:rsid w:val="00F54FEF"/>
    <w:rsid w:val="00F673A4"/>
    <w:rsid w:val="00FB1B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89512-FD9A-49B8-AD53-4E7AC9EB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0568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05688"/>
    <w:rPr>
      <w:rFonts w:ascii="Tahoma" w:hAnsi="Tahoma" w:cs="Tahoma"/>
      <w:sz w:val="16"/>
      <w:szCs w:val="16"/>
    </w:rPr>
  </w:style>
  <w:style w:type="paragraph" w:styleId="PargrafodaLista">
    <w:name w:val="List Paragraph"/>
    <w:basedOn w:val="Normal"/>
    <w:uiPriority w:val="34"/>
    <w:qFormat/>
    <w:rsid w:val="003C37C2"/>
    <w:pPr>
      <w:ind w:left="720"/>
      <w:contextualSpacing/>
    </w:pPr>
  </w:style>
  <w:style w:type="paragraph" w:customStyle="1" w:styleId="CarcterCarcterCharCharCarcterCarcterCharCharCarcterCarcterCarcterCharCharCarcterCarcter1CharCharCarcterCarcterCharCarcterCarcterCarcterCharCharCarcterCarcterCharCarcterChar">
    <w:name w:val="Carácter Carácter Char Char Carácter Carácter Char Char Carácter Carácter Carácter Char Char Carácter Carácter1 Char Char Carácter Carácter Char Carácter Carácter Carácter Char Char Carácter Carácter Char Carácter Char"/>
    <w:basedOn w:val="Normal"/>
    <w:rsid w:val="00A20D69"/>
    <w:pPr>
      <w:tabs>
        <w:tab w:val="num" w:pos="1417"/>
      </w:tabs>
      <w:spacing w:before="120" w:after="120" w:line="240" w:lineRule="auto"/>
      <w:ind w:left="1417" w:hanging="708"/>
      <w:jc w:val="both"/>
    </w:pPr>
    <w:rPr>
      <w:rFonts w:ascii="Times New Roman" w:eastAsia="Times New Roman" w:hAnsi="Times New Roman" w:cs="Times New Roman"/>
      <w:snapToGrid w:val="0"/>
      <w:sz w:val="24"/>
      <w:szCs w:val="24"/>
      <w:lang w:val="en-GB" w:eastAsia="en-GB"/>
    </w:rPr>
  </w:style>
  <w:style w:type="character" w:styleId="Hiperligao">
    <w:name w:val="Hyperlink"/>
    <w:basedOn w:val="Tipodeletrapredefinidodopargrafo"/>
    <w:uiPriority w:val="99"/>
    <w:unhideWhenUsed/>
    <w:rsid w:val="00BB3D2E"/>
    <w:rPr>
      <w:color w:val="0000FF" w:themeColor="hyperlink"/>
      <w:u w:val="single"/>
    </w:rPr>
  </w:style>
  <w:style w:type="paragraph" w:styleId="NormalWeb">
    <w:name w:val="Normal (Web)"/>
    <w:basedOn w:val="Normal"/>
    <w:uiPriority w:val="99"/>
    <w:semiHidden/>
    <w:unhideWhenUsed/>
    <w:rsid w:val="00E25EBF"/>
    <w:pPr>
      <w:spacing w:after="0" w:line="240" w:lineRule="auto"/>
    </w:pPr>
    <w:rPr>
      <w:rFonts w:ascii="Times New Roman" w:hAnsi="Times New Roman" w:cs="Times New Roman"/>
      <w:sz w:val="24"/>
      <w:szCs w:val="24"/>
      <w:lang w:eastAsia="pt-PT"/>
    </w:rPr>
  </w:style>
  <w:style w:type="table" w:styleId="Tabelacomgrelha">
    <w:name w:val="Table Grid"/>
    <w:basedOn w:val="Tabelanormal"/>
    <w:uiPriority w:val="59"/>
    <w:rsid w:val="00B3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terCarcterCharCharCarcterCarcterCharCharCarcterCarcterCarcterCharCharCarcterCarcter1CharCharCarcterCarcterCharCarcterCarcterCarcterCharCharCarcterCarcterCharCarcterChar0">
    <w:name w:val="Carácter Carácter Char Char Carácter Carácter Char Char Carácter Carácter Carácter Char Char Carácter Carácter1 Char Char Carácter Carácter Char Carácter Carácter Carácter Char Char Carácter Carácter Char Carácter Char"/>
    <w:basedOn w:val="Normal"/>
    <w:rsid w:val="00451614"/>
    <w:pPr>
      <w:tabs>
        <w:tab w:val="num" w:pos="1417"/>
      </w:tabs>
      <w:spacing w:before="120" w:after="120" w:line="240" w:lineRule="auto"/>
      <w:ind w:left="1417" w:hanging="708"/>
      <w:jc w:val="both"/>
    </w:pPr>
    <w:rPr>
      <w:rFonts w:ascii="Courier New" w:eastAsia="Courier New" w:hAnsi="Courier New" w:cs="Courier New"/>
      <w:snapToGrid w:val="0"/>
      <w:sz w:val="24"/>
      <w:szCs w:val="24"/>
      <w:lang w:val="en-GB" w:eastAsia="en-GB"/>
    </w:rPr>
  </w:style>
  <w:style w:type="paragraph" w:customStyle="1" w:styleId="Default">
    <w:name w:val="Default"/>
    <w:rsid w:val="00DF00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6373">
      <w:bodyDiv w:val="1"/>
      <w:marLeft w:val="0"/>
      <w:marRight w:val="0"/>
      <w:marTop w:val="0"/>
      <w:marBottom w:val="0"/>
      <w:divBdr>
        <w:top w:val="none" w:sz="0" w:space="0" w:color="auto"/>
        <w:left w:val="none" w:sz="0" w:space="0" w:color="auto"/>
        <w:bottom w:val="none" w:sz="0" w:space="0" w:color="auto"/>
        <w:right w:val="none" w:sz="0" w:space="0" w:color="auto"/>
      </w:divBdr>
    </w:div>
    <w:div w:id="87428867">
      <w:bodyDiv w:val="1"/>
      <w:marLeft w:val="0"/>
      <w:marRight w:val="0"/>
      <w:marTop w:val="0"/>
      <w:marBottom w:val="0"/>
      <w:divBdr>
        <w:top w:val="none" w:sz="0" w:space="0" w:color="auto"/>
        <w:left w:val="none" w:sz="0" w:space="0" w:color="auto"/>
        <w:bottom w:val="none" w:sz="0" w:space="0" w:color="auto"/>
        <w:right w:val="none" w:sz="0" w:space="0" w:color="auto"/>
      </w:divBdr>
    </w:div>
    <w:div w:id="372467006">
      <w:bodyDiv w:val="1"/>
      <w:marLeft w:val="0"/>
      <w:marRight w:val="0"/>
      <w:marTop w:val="0"/>
      <w:marBottom w:val="0"/>
      <w:divBdr>
        <w:top w:val="none" w:sz="0" w:space="0" w:color="auto"/>
        <w:left w:val="none" w:sz="0" w:space="0" w:color="auto"/>
        <w:bottom w:val="none" w:sz="0" w:space="0" w:color="auto"/>
        <w:right w:val="none" w:sz="0" w:space="0" w:color="auto"/>
      </w:divBdr>
    </w:div>
    <w:div w:id="887033507">
      <w:bodyDiv w:val="1"/>
      <w:marLeft w:val="0"/>
      <w:marRight w:val="0"/>
      <w:marTop w:val="0"/>
      <w:marBottom w:val="0"/>
      <w:divBdr>
        <w:top w:val="none" w:sz="0" w:space="0" w:color="auto"/>
        <w:left w:val="none" w:sz="0" w:space="0" w:color="auto"/>
        <w:bottom w:val="none" w:sz="0" w:space="0" w:color="auto"/>
        <w:right w:val="none" w:sz="0" w:space="0" w:color="auto"/>
      </w:divBdr>
    </w:div>
    <w:div w:id="1513373703">
      <w:bodyDiv w:val="1"/>
      <w:marLeft w:val="0"/>
      <w:marRight w:val="0"/>
      <w:marTop w:val="0"/>
      <w:marBottom w:val="0"/>
      <w:divBdr>
        <w:top w:val="none" w:sz="0" w:space="0" w:color="auto"/>
        <w:left w:val="none" w:sz="0" w:space="0" w:color="auto"/>
        <w:bottom w:val="none" w:sz="0" w:space="0" w:color="auto"/>
        <w:right w:val="none" w:sz="0" w:space="0" w:color="auto"/>
      </w:divBdr>
    </w:div>
    <w:div w:id="1528715664">
      <w:bodyDiv w:val="1"/>
      <w:marLeft w:val="0"/>
      <w:marRight w:val="0"/>
      <w:marTop w:val="0"/>
      <w:marBottom w:val="0"/>
      <w:divBdr>
        <w:top w:val="none" w:sz="0" w:space="0" w:color="auto"/>
        <w:left w:val="none" w:sz="0" w:space="0" w:color="auto"/>
        <w:bottom w:val="none" w:sz="0" w:space="0" w:color="auto"/>
        <w:right w:val="none" w:sz="0" w:space="0" w:color="auto"/>
      </w:divBdr>
    </w:div>
    <w:div w:id="1602378620">
      <w:bodyDiv w:val="1"/>
      <w:marLeft w:val="0"/>
      <w:marRight w:val="0"/>
      <w:marTop w:val="0"/>
      <w:marBottom w:val="0"/>
      <w:divBdr>
        <w:top w:val="none" w:sz="0" w:space="0" w:color="auto"/>
        <w:left w:val="none" w:sz="0" w:space="0" w:color="auto"/>
        <w:bottom w:val="none" w:sz="0" w:space="0" w:color="auto"/>
        <w:right w:val="none" w:sz="0" w:space="0" w:color="auto"/>
      </w:divBdr>
    </w:div>
    <w:div w:id="1687057475">
      <w:bodyDiv w:val="1"/>
      <w:marLeft w:val="0"/>
      <w:marRight w:val="0"/>
      <w:marTop w:val="0"/>
      <w:marBottom w:val="0"/>
      <w:divBdr>
        <w:top w:val="none" w:sz="0" w:space="0" w:color="auto"/>
        <w:left w:val="none" w:sz="0" w:space="0" w:color="auto"/>
        <w:bottom w:val="none" w:sz="0" w:space="0" w:color="auto"/>
        <w:right w:val="none" w:sz="0" w:space="0" w:color="auto"/>
      </w:divBdr>
    </w:div>
    <w:div w:id="1822891508">
      <w:bodyDiv w:val="1"/>
      <w:marLeft w:val="0"/>
      <w:marRight w:val="0"/>
      <w:marTop w:val="0"/>
      <w:marBottom w:val="0"/>
      <w:divBdr>
        <w:top w:val="none" w:sz="0" w:space="0" w:color="auto"/>
        <w:left w:val="none" w:sz="0" w:space="0" w:color="auto"/>
        <w:bottom w:val="none" w:sz="0" w:space="0" w:color="auto"/>
        <w:right w:val="none" w:sz="0" w:space="0" w:color="auto"/>
      </w:divBdr>
    </w:div>
    <w:div w:id="1851139788">
      <w:bodyDiv w:val="1"/>
      <w:marLeft w:val="0"/>
      <w:marRight w:val="0"/>
      <w:marTop w:val="0"/>
      <w:marBottom w:val="0"/>
      <w:divBdr>
        <w:top w:val="none" w:sz="0" w:space="0" w:color="auto"/>
        <w:left w:val="none" w:sz="0" w:space="0" w:color="auto"/>
        <w:bottom w:val="none" w:sz="0" w:space="0" w:color="auto"/>
        <w:right w:val="none" w:sz="0" w:space="0" w:color="auto"/>
      </w:divBdr>
    </w:div>
    <w:div w:id="20679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9557-3F21-46C2-B64C-25453043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GPP</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Veiga</dc:creator>
  <cp:lastModifiedBy>Autoridade de Gestão</cp:lastModifiedBy>
  <cp:revision>2</cp:revision>
  <cp:lastPrinted>2019-05-07T15:02:00Z</cp:lastPrinted>
  <dcterms:created xsi:type="dcterms:W3CDTF">2021-07-16T16:20:00Z</dcterms:created>
  <dcterms:modified xsi:type="dcterms:W3CDTF">2021-07-16T16:20:00Z</dcterms:modified>
</cp:coreProperties>
</file>